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4" w:rsidRPr="0000670D" w:rsidRDefault="00390034" w:rsidP="00390034">
      <w:pPr>
        <w:shd w:val="clear" w:color="auto" w:fill="FFFFFF"/>
        <w:ind w:firstLine="6521"/>
        <w:jc w:val="both"/>
        <w:rPr>
          <w:rFonts w:ascii="Times New Roman" w:hAnsi="Times New Roman"/>
          <w:i/>
        </w:rPr>
      </w:pPr>
      <w:bookmarkStart w:id="0" w:name="_GoBack"/>
      <w:bookmarkEnd w:id="0"/>
      <w:r w:rsidRPr="0000670D">
        <w:rPr>
          <w:rFonts w:ascii="Times New Roman" w:hAnsi="Times New Roman"/>
          <w:i/>
        </w:rPr>
        <w:t>Генеральный директор</w:t>
      </w:r>
    </w:p>
    <w:p w:rsidR="00204542" w:rsidRPr="0000670D" w:rsidRDefault="00204542" w:rsidP="00390034">
      <w:pPr>
        <w:shd w:val="clear" w:color="auto" w:fill="FFFFFF"/>
        <w:ind w:firstLine="6521"/>
        <w:jc w:val="both"/>
        <w:rPr>
          <w:rFonts w:ascii="Times New Roman" w:hAnsi="Times New Roman"/>
          <w:i/>
        </w:rPr>
      </w:pPr>
      <w:r w:rsidRPr="0000670D">
        <w:rPr>
          <w:rFonts w:ascii="Times New Roman" w:hAnsi="Times New Roman"/>
          <w:i/>
        </w:rPr>
        <w:t>АО</w:t>
      </w:r>
      <w:r w:rsidRPr="0000670D">
        <w:rPr>
          <w:rFonts w:ascii="Times New Roman" w:hAnsi="Times New Roman"/>
          <w:i/>
          <w:lang w:val="en-US"/>
        </w:rPr>
        <w:t> </w:t>
      </w:r>
      <w:r w:rsidRPr="0000670D">
        <w:rPr>
          <w:rFonts w:ascii="Times New Roman" w:hAnsi="Times New Roman"/>
          <w:i/>
        </w:rPr>
        <w:t>ИФК</w:t>
      </w:r>
      <w:r w:rsidRPr="0000670D">
        <w:rPr>
          <w:rFonts w:ascii="Times New Roman" w:hAnsi="Times New Roman"/>
          <w:i/>
          <w:lang w:val="en-US"/>
        </w:rPr>
        <w:t> </w:t>
      </w:r>
      <w:r w:rsidRPr="0000670D">
        <w:rPr>
          <w:rFonts w:ascii="Times New Roman" w:hAnsi="Times New Roman"/>
          <w:i/>
        </w:rPr>
        <w:t>«</w:t>
      </w:r>
      <w:proofErr w:type="spellStart"/>
      <w:r w:rsidRPr="0000670D">
        <w:rPr>
          <w:rFonts w:ascii="Times New Roman" w:hAnsi="Times New Roman"/>
          <w:i/>
        </w:rPr>
        <w:t>Солид</w:t>
      </w:r>
      <w:proofErr w:type="spellEnd"/>
      <w:r w:rsidRPr="0000670D">
        <w:rPr>
          <w:rFonts w:ascii="Times New Roman" w:hAnsi="Times New Roman"/>
          <w:i/>
        </w:rPr>
        <w:t>»</w:t>
      </w:r>
    </w:p>
    <w:p w:rsidR="00204542" w:rsidRPr="0000670D" w:rsidRDefault="00204542" w:rsidP="00390034">
      <w:pPr>
        <w:shd w:val="clear" w:color="auto" w:fill="FFFFFF"/>
        <w:spacing w:before="240" w:after="240"/>
        <w:ind w:firstLine="6521"/>
        <w:jc w:val="both"/>
        <w:rPr>
          <w:rFonts w:ascii="Times New Roman" w:hAnsi="Times New Roman"/>
          <w:i/>
          <w:vertAlign w:val="superscript"/>
        </w:rPr>
      </w:pPr>
      <w:r w:rsidRPr="0000670D">
        <w:rPr>
          <w:rFonts w:ascii="Times New Roman" w:hAnsi="Times New Roman"/>
          <w:i/>
        </w:rPr>
        <w:t>П.А. Гоцев</w:t>
      </w:r>
    </w:p>
    <w:p w:rsidR="00204542" w:rsidRPr="0000670D" w:rsidRDefault="00204542" w:rsidP="00390034">
      <w:pPr>
        <w:pStyle w:val="ab"/>
        <w:ind w:firstLine="6521"/>
        <w:rPr>
          <w:rFonts w:ascii="Times New Roman" w:hAnsi="Times New Roman"/>
          <w:i/>
        </w:rPr>
      </w:pPr>
      <w:r w:rsidRPr="0000670D">
        <w:rPr>
          <w:rFonts w:ascii="Times New Roman" w:hAnsi="Times New Roman"/>
          <w:i/>
        </w:rPr>
        <w:t>Приказ № </w:t>
      </w:r>
      <w:r w:rsidR="00390034" w:rsidRPr="0000670D">
        <w:rPr>
          <w:rFonts w:ascii="Times New Roman" w:hAnsi="Times New Roman"/>
          <w:i/>
        </w:rPr>
        <w:t xml:space="preserve">44 </w:t>
      </w:r>
      <w:r w:rsidRPr="0000670D">
        <w:rPr>
          <w:rFonts w:ascii="Times New Roman" w:hAnsi="Times New Roman"/>
          <w:i/>
        </w:rPr>
        <w:t>от «</w:t>
      </w:r>
      <w:r w:rsidR="00390034" w:rsidRPr="0000670D">
        <w:rPr>
          <w:rFonts w:ascii="Times New Roman" w:hAnsi="Times New Roman"/>
          <w:i/>
        </w:rPr>
        <w:t>10</w:t>
      </w:r>
      <w:r w:rsidRPr="0000670D">
        <w:rPr>
          <w:rFonts w:ascii="Times New Roman" w:hAnsi="Times New Roman"/>
          <w:i/>
        </w:rPr>
        <w:t xml:space="preserve">» </w:t>
      </w:r>
      <w:r w:rsidR="006D3352" w:rsidRPr="0000670D">
        <w:rPr>
          <w:rFonts w:ascii="Times New Roman" w:hAnsi="Times New Roman"/>
          <w:i/>
        </w:rPr>
        <w:t>февраля</w:t>
      </w:r>
      <w:r w:rsidRPr="0000670D">
        <w:rPr>
          <w:rFonts w:ascii="Times New Roman" w:hAnsi="Times New Roman"/>
          <w:i/>
        </w:rPr>
        <w:t xml:space="preserve"> 202</w:t>
      </w:r>
      <w:r w:rsidR="006D3352" w:rsidRPr="0000670D">
        <w:rPr>
          <w:rFonts w:ascii="Times New Roman" w:hAnsi="Times New Roman"/>
          <w:i/>
        </w:rPr>
        <w:t>1</w:t>
      </w:r>
      <w:r w:rsidRPr="0000670D">
        <w:rPr>
          <w:rFonts w:ascii="Times New Roman" w:hAnsi="Times New Roman"/>
          <w:i/>
        </w:rPr>
        <w:t xml:space="preserve"> г.</w:t>
      </w:r>
    </w:p>
    <w:p w:rsidR="004714DB" w:rsidRPr="0000670D" w:rsidRDefault="004714DB" w:rsidP="00FD3EF0">
      <w:pPr>
        <w:pStyle w:val="2"/>
        <w:spacing w:before="100" w:beforeAutospacing="1" w:after="100" w:afterAutospacing="1"/>
        <w:rPr>
          <w:b/>
          <w:bCs/>
          <w:smallCaps/>
          <w:sz w:val="20"/>
        </w:rPr>
      </w:pPr>
      <w:r w:rsidRPr="0000670D">
        <w:rPr>
          <w:b/>
          <w:bCs/>
          <w:smallCaps/>
          <w:sz w:val="20"/>
        </w:rPr>
        <w:t>Прейскурант</w:t>
      </w:r>
      <w:r w:rsidR="003022EC" w:rsidRPr="0000670D">
        <w:rPr>
          <w:b/>
          <w:smallCaps/>
          <w:sz w:val="20"/>
          <w:vertAlign w:val="superscript"/>
        </w:rPr>
        <w:t>(1)</w:t>
      </w:r>
      <w:r w:rsidRPr="0000670D">
        <w:rPr>
          <w:b/>
          <w:bCs/>
          <w:smallCaps/>
          <w:sz w:val="20"/>
        </w:rPr>
        <w:t xml:space="preserve"> на депозитарные и сопутствующие усл</w:t>
      </w:r>
      <w:r w:rsidR="00204542" w:rsidRPr="0000670D">
        <w:rPr>
          <w:b/>
          <w:bCs/>
          <w:smallCaps/>
          <w:sz w:val="20"/>
        </w:rPr>
        <w:t>уги, оказываемые</w:t>
      </w:r>
      <w:r w:rsidR="00204542" w:rsidRPr="0000670D">
        <w:rPr>
          <w:b/>
          <w:bCs/>
          <w:smallCaps/>
          <w:sz w:val="20"/>
        </w:rPr>
        <w:br/>
        <w:t>Депозитарием АО ИФК </w:t>
      </w:r>
      <w:r w:rsidRPr="0000670D">
        <w:rPr>
          <w:b/>
          <w:bCs/>
          <w:smallCaps/>
          <w:sz w:val="20"/>
        </w:rPr>
        <w:t>«</w:t>
      </w:r>
      <w:proofErr w:type="spellStart"/>
      <w:r w:rsidRPr="0000670D">
        <w:rPr>
          <w:b/>
          <w:bCs/>
          <w:smallCaps/>
          <w:sz w:val="20"/>
        </w:rPr>
        <w:t>Солид</w:t>
      </w:r>
      <w:proofErr w:type="spellEnd"/>
      <w:r w:rsidRPr="0000670D">
        <w:rPr>
          <w:b/>
          <w:bCs/>
          <w:smallCaps/>
          <w:sz w:val="20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835"/>
      </w:tblGrid>
      <w:tr w:rsidR="0000670D" w:rsidRPr="0000670D" w:rsidTr="00B804CE">
        <w:trPr>
          <w:trHeight w:val="187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00670D" w:rsidRDefault="00004CD3" w:rsidP="0077103D">
            <w:pPr>
              <w:pStyle w:val="1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mallCaps/>
                <w:sz w:val="22"/>
                <w:szCs w:val="22"/>
              </w:rPr>
            </w:pPr>
            <w:r w:rsidRPr="0000670D">
              <w:rPr>
                <w:b/>
                <w:smallCaps/>
                <w:sz w:val="22"/>
                <w:szCs w:val="22"/>
              </w:rPr>
              <w:t xml:space="preserve">№ </w:t>
            </w:r>
            <w:proofErr w:type="gramStart"/>
            <w:r w:rsidRPr="0000670D">
              <w:rPr>
                <w:b/>
                <w:smallCaps/>
                <w:sz w:val="22"/>
                <w:szCs w:val="22"/>
              </w:rPr>
              <w:t>п</w:t>
            </w:r>
            <w:proofErr w:type="gramEnd"/>
            <w:r w:rsidRPr="0000670D">
              <w:rPr>
                <w:b/>
                <w:smallCaps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00670D" w:rsidRDefault="00004CD3" w:rsidP="0077103D">
            <w:pPr>
              <w:spacing w:before="60" w:after="60"/>
              <w:ind w:firstLine="34"/>
              <w:jc w:val="center"/>
              <w:rPr>
                <w:rFonts w:ascii="Times New Roman" w:hAnsi="Times New Roman"/>
                <w:b/>
                <w:smallCaps/>
                <w:szCs w:val="22"/>
              </w:rPr>
            </w:pPr>
            <w:r w:rsidRPr="0000670D">
              <w:rPr>
                <w:rFonts w:ascii="Times New Roman" w:hAnsi="Times New Roman"/>
                <w:b/>
                <w:smallCaps/>
                <w:szCs w:val="22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004CD3" w:rsidRPr="0000670D" w:rsidRDefault="00004CD3" w:rsidP="0077103D">
            <w:pPr>
              <w:spacing w:before="60" w:after="60"/>
              <w:jc w:val="center"/>
              <w:rPr>
                <w:rFonts w:ascii="Times New Roman" w:hAnsi="Times New Roman"/>
                <w:b/>
                <w:smallCaps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b/>
                <w:smallCaps/>
                <w:spacing w:val="-6"/>
                <w:szCs w:val="22"/>
              </w:rPr>
              <w:t>Стоимость</w:t>
            </w:r>
            <w:r w:rsidR="000F5894" w:rsidRPr="0000670D">
              <w:rPr>
                <w:rFonts w:ascii="Times New Roman" w:hAnsi="Times New Roman"/>
                <w:b/>
                <w:smallCaps/>
                <w:spacing w:val="-6"/>
                <w:szCs w:val="22"/>
              </w:rPr>
              <w:t xml:space="preserve"> услуги, руб.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075C2" w:rsidRPr="0000670D" w:rsidRDefault="003075C2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075C2" w:rsidRPr="0000670D" w:rsidRDefault="003075C2" w:rsidP="002D49F5">
            <w:pPr>
              <w:spacing w:before="40" w:after="40"/>
              <w:ind w:firstLine="34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b/>
                <w:szCs w:val="22"/>
              </w:rPr>
              <w:t>Общие услуги</w:t>
            </w:r>
          </w:p>
        </w:tc>
      </w:tr>
      <w:tr w:rsidR="0000670D" w:rsidRPr="0000670D" w:rsidTr="00B804CE">
        <w:tc>
          <w:tcPr>
            <w:tcW w:w="851" w:type="dxa"/>
          </w:tcPr>
          <w:p w:rsidR="00004CD3" w:rsidRPr="0000670D" w:rsidRDefault="003075C2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</w:t>
            </w:r>
            <w:r w:rsidR="00413BE7" w:rsidRPr="0000670D">
              <w:rPr>
                <w:sz w:val="22"/>
                <w:szCs w:val="22"/>
              </w:rPr>
              <w:t>.1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004CD3" w:rsidRPr="0000670D" w:rsidRDefault="00004CD3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Открытие счета депо</w:t>
            </w:r>
          </w:p>
        </w:tc>
        <w:tc>
          <w:tcPr>
            <w:tcW w:w="2835" w:type="dxa"/>
          </w:tcPr>
          <w:p w:rsidR="00004CD3" w:rsidRPr="0000670D" w:rsidRDefault="00004CD3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004CD3" w:rsidRPr="0000670D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</w:t>
            </w:r>
            <w:r w:rsidR="00413BE7" w:rsidRPr="0000670D">
              <w:rPr>
                <w:sz w:val="22"/>
                <w:szCs w:val="22"/>
              </w:rPr>
              <w:t>.</w:t>
            </w:r>
            <w:r w:rsidR="00046F5B" w:rsidRPr="0000670D">
              <w:rPr>
                <w:sz w:val="22"/>
                <w:szCs w:val="22"/>
              </w:rPr>
              <w:t>2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004CD3" w:rsidRPr="0000670D" w:rsidRDefault="00004CD3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Регистрация/прекращение полномочий Оператора счета депо</w:t>
            </w:r>
          </w:p>
        </w:tc>
        <w:tc>
          <w:tcPr>
            <w:tcW w:w="2835" w:type="dxa"/>
          </w:tcPr>
          <w:p w:rsidR="00004CD3" w:rsidRPr="0000670D" w:rsidRDefault="00004CD3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004CD3" w:rsidRPr="0000670D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</w:t>
            </w:r>
            <w:r w:rsidR="00413BE7" w:rsidRPr="0000670D">
              <w:rPr>
                <w:sz w:val="22"/>
                <w:szCs w:val="22"/>
              </w:rPr>
              <w:t>.</w:t>
            </w:r>
            <w:r w:rsidR="00046F5B" w:rsidRPr="0000670D">
              <w:rPr>
                <w:sz w:val="22"/>
                <w:szCs w:val="22"/>
              </w:rPr>
              <w:t>3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004CD3" w:rsidRPr="0000670D" w:rsidRDefault="00004CD3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Закрытие счета депо</w:t>
            </w:r>
          </w:p>
        </w:tc>
        <w:tc>
          <w:tcPr>
            <w:tcW w:w="2835" w:type="dxa"/>
          </w:tcPr>
          <w:p w:rsidR="00004CD3" w:rsidRPr="0000670D" w:rsidRDefault="00004CD3" w:rsidP="00A10D33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004CD3" w:rsidRPr="0000670D" w:rsidRDefault="00503EB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</w:t>
            </w:r>
            <w:r w:rsidR="00413BE7" w:rsidRPr="0000670D">
              <w:rPr>
                <w:sz w:val="22"/>
                <w:szCs w:val="22"/>
              </w:rPr>
              <w:t>.</w:t>
            </w:r>
            <w:r w:rsidR="00046F5B" w:rsidRPr="0000670D">
              <w:rPr>
                <w:sz w:val="22"/>
                <w:szCs w:val="22"/>
              </w:rPr>
              <w:t>4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004CD3" w:rsidRPr="0000670D" w:rsidRDefault="00004CD3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Корректировка анкетных данных Депонента</w:t>
            </w:r>
            <w:r w:rsidR="009E6308" w:rsidRPr="0000670D">
              <w:rPr>
                <w:rFonts w:ascii="Times New Roman" w:hAnsi="Times New Roman"/>
                <w:szCs w:val="22"/>
              </w:rPr>
              <w:t xml:space="preserve"> по договору счета депо</w:t>
            </w:r>
          </w:p>
        </w:tc>
        <w:tc>
          <w:tcPr>
            <w:tcW w:w="2835" w:type="dxa"/>
          </w:tcPr>
          <w:p w:rsidR="00004CD3" w:rsidRPr="0000670D" w:rsidRDefault="00F11DE8" w:rsidP="00C42F21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5466E5" w:rsidRPr="0000670D" w:rsidRDefault="00721946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5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466E5" w:rsidRPr="0000670D" w:rsidRDefault="005466E5" w:rsidP="00F23D9D">
            <w:pPr>
              <w:ind w:right="516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Выдача отчета о выполнении депозитарной операции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6E5" w:rsidRPr="0000670D" w:rsidRDefault="005466E5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721946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6</w:t>
            </w:r>
            <w:r w:rsidR="00721946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21946" w:rsidRPr="0000670D" w:rsidRDefault="00721946" w:rsidP="00F23D9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Выдача выписки со счета депо: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1946" w:rsidRPr="0000670D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6</w:t>
            </w:r>
            <w:r w:rsidR="00721946"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721946" w:rsidP="007E1E6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-на дату последнего календарного дня отчетного периода (при наличии </w:t>
            </w:r>
            <w:r w:rsidR="007E1E6D" w:rsidRPr="0000670D">
              <w:rPr>
                <w:rFonts w:ascii="Times New Roman" w:hAnsi="Times New Roman"/>
                <w:szCs w:val="22"/>
              </w:rPr>
              <w:t>ценных бумаг</w:t>
            </w:r>
            <w:r w:rsidRPr="0000670D">
              <w:rPr>
                <w:rFonts w:ascii="Times New Roman" w:hAnsi="Times New Roman"/>
                <w:szCs w:val="22"/>
              </w:rPr>
              <w:t xml:space="preserve"> на счете депо)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6</w:t>
            </w:r>
            <w:r w:rsidR="00721946"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721946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-для предоставления нотариусу (в случае наследования), для предоставления в судебные органы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721946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6</w:t>
            </w:r>
            <w:r w:rsidR="00721946" w:rsidRPr="0000670D">
              <w:rPr>
                <w:sz w:val="22"/>
                <w:szCs w:val="22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6" w:rsidRPr="0000670D" w:rsidRDefault="00721946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-по состоянию на определенную </w:t>
            </w:r>
            <w:r w:rsidR="00493CFC" w:rsidRPr="0000670D">
              <w:rPr>
                <w:rFonts w:ascii="Times New Roman" w:hAnsi="Times New Roman"/>
                <w:szCs w:val="22"/>
              </w:rPr>
              <w:t xml:space="preserve">дату </w:t>
            </w:r>
            <w:r w:rsidRPr="0000670D">
              <w:rPr>
                <w:rFonts w:ascii="Times New Roman" w:hAnsi="Times New Roman"/>
                <w:szCs w:val="22"/>
              </w:rPr>
              <w:t>по</w:t>
            </w:r>
            <w:r w:rsidR="007D2C0E" w:rsidRPr="0000670D">
              <w:rPr>
                <w:rFonts w:ascii="Times New Roman" w:hAnsi="Times New Roman"/>
                <w:szCs w:val="22"/>
              </w:rPr>
              <w:t xml:space="preserve"> письменному запросу Депонента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6" w:rsidRPr="0000670D" w:rsidRDefault="00345D5B" w:rsidP="006D3352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2</w:t>
            </w:r>
            <w:r w:rsidR="00721946" w:rsidRPr="0000670D">
              <w:rPr>
                <w:rFonts w:ascii="Times New Roman" w:hAnsi="Times New Roman"/>
                <w:spacing w:val="-6"/>
                <w:szCs w:val="22"/>
              </w:rPr>
              <w:t>00 - для физических лиц</w:t>
            </w:r>
          </w:p>
          <w:p w:rsidR="00721946" w:rsidRPr="0000670D" w:rsidRDefault="00345D5B" w:rsidP="006D3352">
            <w:pPr>
              <w:spacing w:line="264" w:lineRule="auto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4</w:t>
            </w:r>
            <w:r w:rsidR="00721946" w:rsidRPr="0000670D">
              <w:rPr>
                <w:rFonts w:ascii="Times New Roman" w:hAnsi="Times New Roman"/>
                <w:spacing w:val="-6"/>
                <w:szCs w:val="22"/>
              </w:rPr>
              <w:t>00 - для юридических лиц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00670D" w:rsidRDefault="007D2C0E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7</w:t>
            </w:r>
            <w:r w:rsidR="000F0AC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00670D" w:rsidRDefault="007D2C0E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Выдача выписки </w:t>
            </w:r>
            <w:proofErr w:type="gramStart"/>
            <w:r w:rsidRPr="0000670D">
              <w:rPr>
                <w:rFonts w:ascii="Times New Roman" w:hAnsi="Times New Roman"/>
                <w:szCs w:val="22"/>
              </w:rPr>
              <w:t xml:space="preserve">со счета депо в </w:t>
            </w:r>
            <w:r w:rsidR="006A5C1C" w:rsidRPr="0000670D">
              <w:rPr>
                <w:rFonts w:ascii="Times New Roman" w:hAnsi="Times New Roman"/>
                <w:szCs w:val="22"/>
              </w:rPr>
              <w:t>вышестоящем</w:t>
            </w:r>
            <w:r w:rsidRPr="0000670D">
              <w:rPr>
                <w:rFonts w:ascii="Times New Roman" w:hAnsi="Times New Roman"/>
                <w:szCs w:val="22"/>
              </w:rPr>
              <w:t xml:space="preserve"> депозитарии по состоянию на определенную дату по письменному запросу</w:t>
            </w:r>
            <w:proofErr w:type="gramEnd"/>
            <w:r w:rsidRPr="0000670D">
              <w:rPr>
                <w:rFonts w:ascii="Times New Roman" w:hAnsi="Times New Roman"/>
                <w:szCs w:val="22"/>
              </w:rPr>
              <w:t xml:space="preserve"> Депонента</w:t>
            </w:r>
            <w:r w:rsidR="00265C95" w:rsidRPr="0000670D">
              <w:rPr>
                <w:rFonts w:ascii="Times New Roman" w:hAnsi="Times New Roman"/>
                <w:szCs w:val="22"/>
              </w:rPr>
              <w:t xml:space="preserve"> для подтверждения наличия конкретного выпуска </w:t>
            </w:r>
            <w:r w:rsidR="007E1E6D" w:rsidRPr="0000670D">
              <w:rPr>
                <w:rFonts w:ascii="Times New Roman" w:hAnsi="Times New Roman"/>
                <w:szCs w:val="22"/>
              </w:rPr>
              <w:t>ценных бумаг</w:t>
            </w:r>
            <w:r w:rsidR="00493CFC" w:rsidRPr="0000670D">
              <w:rPr>
                <w:rFonts w:ascii="Times New Roman" w:hAnsi="Times New Roman"/>
                <w:szCs w:val="22"/>
              </w:rPr>
              <w:t xml:space="preserve"> по корпоративным действиям Эмитента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00670D" w:rsidRDefault="007D2C0E" w:rsidP="009B64F2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 тарифу Депозитария</w:t>
            </w:r>
            <w:r w:rsidR="009B64F2" w:rsidRPr="0000670D">
              <w:rPr>
                <w:rFonts w:ascii="Times New Roman" w:hAnsi="Times New Roman"/>
                <w:szCs w:val="22"/>
              </w:rPr>
              <w:t xml:space="preserve"> места хранения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65C95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8</w:t>
            </w:r>
            <w:r w:rsidR="00265C95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5" w:rsidRPr="0000670D" w:rsidRDefault="004B1304" w:rsidP="00F23D9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Выдача у</w:t>
            </w:r>
            <w:r w:rsidR="00265C95" w:rsidRPr="0000670D">
              <w:rPr>
                <w:rFonts w:ascii="Times New Roman" w:hAnsi="Times New Roman"/>
                <w:szCs w:val="22"/>
              </w:rPr>
              <w:t>ведомления о движении ценных бумаг Депонента: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65C95" w:rsidRPr="0000670D" w:rsidRDefault="00265C95" w:rsidP="00F23D9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5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8</w:t>
            </w:r>
            <w:r w:rsidR="00265C95"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5" w:rsidRPr="0000670D" w:rsidRDefault="00265C95" w:rsidP="00F23D9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C95" w:rsidRPr="0000670D" w:rsidRDefault="00265C95" w:rsidP="00F23D9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5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8</w:t>
            </w:r>
            <w:r w:rsidR="00265C95"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5" w:rsidRPr="0000670D" w:rsidRDefault="00265C95" w:rsidP="004B1304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-за определенный период времени </w:t>
            </w:r>
            <w:r w:rsidR="007E1E6D" w:rsidRPr="0000670D">
              <w:rPr>
                <w:rFonts w:ascii="Times New Roman" w:hAnsi="Times New Roman"/>
                <w:szCs w:val="22"/>
              </w:rPr>
              <w:t>(с 2009) по письменному запросу Депонента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C95" w:rsidRPr="0000670D" w:rsidRDefault="00A00713" w:rsidP="00A00713">
            <w:pPr>
              <w:spacing w:before="120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200</w:t>
            </w:r>
            <w:r w:rsidR="00265C95" w:rsidRPr="0000670D">
              <w:rPr>
                <w:rFonts w:ascii="Times New Roman" w:hAnsi="Times New Roman"/>
                <w:szCs w:val="22"/>
              </w:rPr>
              <w:t xml:space="preserve"> + 6 за каждый лист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65C95" w:rsidRPr="0000670D" w:rsidRDefault="00CF6CCB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1.8</w:t>
            </w:r>
            <w:r w:rsidR="00265C95" w:rsidRPr="0000670D">
              <w:rPr>
                <w:sz w:val="22"/>
                <w:szCs w:val="22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C95" w:rsidRPr="0000670D" w:rsidRDefault="00265C95" w:rsidP="00416030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-за определенный период времени (если в этот период входят годы с 1998 по 2008)</w:t>
            </w:r>
            <w:r w:rsidR="00842F75" w:rsidRPr="0000670D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Pr="0000670D">
              <w:rPr>
                <w:rFonts w:ascii="Times New Roman" w:hAnsi="Times New Roman"/>
                <w:szCs w:val="22"/>
              </w:rPr>
              <w:t xml:space="preserve">по письменному запросу Депонента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65C95" w:rsidRPr="0000670D" w:rsidRDefault="00A00713" w:rsidP="00A00713">
            <w:pPr>
              <w:spacing w:before="120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200</w:t>
            </w:r>
            <w:r w:rsidR="00416030" w:rsidRPr="0000670D">
              <w:rPr>
                <w:rFonts w:ascii="Times New Roman" w:hAnsi="Times New Roman"/>
                <w:szCs w:val="22"/>
              </w:rPr>
              <w:t xml:space="preserve"> + 6 за каждый лист + 3 000</w:t>
            </w:r>
          </w:p>
        </w:tc>
      </w:tr>
      <w:tr w:rsidR="0000670D" w:rsidRPr="0000670D" w:rsidTr="00B804CE">
        <w:tc>
          <w:tcPr>
            <w:tcW w:w="851" w:type="dxa"/>
          </w:tcPr>
          <w:p w:rsidR="00493CFC" w:rsidRPr="0000670D" w:rsidRDefault="00493CFC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</w:t>
            </w:r>
            <w:r w:rsidR="00CF6CCB" w:rsidRPr="0000670D">
              <w:rPr>
                <w:sz w:val="22"/>
                <w:szCs w:val="22"/>
              </w:rPr>
              <w:t>9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493CFC" w:rsidRPr="0000670D" w:rsidRDefault="00493CFC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Выдача дубликата отчета о выполнении депозитарной операции по письменному запросу Депонента</w:t>
            </w:r>
          </w:p>
        </w:tc>
        <w:tc>
          <w:tcPr>
            <w:tcW w:w="2835" w:type="dxa"/>
          </w:tcPr>
          <w:p w:rsidR="00493CFC" w:rsidRPr="0000670D" w:rsidRDefault="006D3352" w:rsidP="006D3352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</w:t>
            </w:r>
            <w:r w:rsidR="00493CFC" w:rsidRPr="0000670D">
              <w:rPr>
                <w:rFonts w:ascii="Times New Roman" w:hAnsi="Times New Roman"/>
                <w:szCs w:val="22"/>
              </w:rPr>
              <w:t>00</w:t>
            </w:r>
          </w:p>
        </w:tc>
      </w:tr>
      <w:tr w:rsidR="0000670D" w:rsidRPr="0000670D" w:rsidTr="00B804CE">
        <w:tc>
          <w:tcPr>
            <w:tcW w:w="851" w:type="dxa"/>
          </w:tcPr>
          <w:p w:rsidR="00265C95" w:rsidRPr="0000670D" w:rsidRDefault="00367444" w:rsidP="00CF6CCB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1.1</w:t>
            </w:r>
            <w:r w:rsidR="00CF6CCB" w:rsidRPr="0000670D">
              <w:rPr>
                <w:sz w:val="22"/>
                <w:szCs w:val="22"/>
              </w:rPr>
              <w:t>0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265C95" w:rsidRPr="0000670D" w:rsidRDefault="004B1304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Выдача дубликата выписки/у</w:t>
            </w:r>
            <w:r w:rsidR="00367444" w:rsidRPr="0000670D">
              <w:rPr>
                <w:rFonts w:ascii="Times New Roman" w:hAnsi="Times New Roman"/>
                <w:szCs w:val="22"/>
              </w:rPr>
              <w:t>ведомления по счету депо по письменному запросу Депонента</w:t>
            </w:r>
          </w:p>
        </w:tc>
        <w:tc>
          <w:tcPr>
            <w:tcW w:w="2835" w:type="dxa"/>
          </w:tcPr>
          <w:p w:rsidR="00DD27E8" w:rsidRPr="0000670D" w:rsidRDefault="006D3352" w:rsidP="006D3352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2</w:t>
            </w:r>
            <w:r w:rsidR="00DD27E8" w:rsidRPr="0000670D">
              <w:rPr>
                <w:rFonts w:ascii="Times New Roman" w:hAnsi="Times New Roman"/>
                <w:spacing w:val="-6"/>
                <w:szCs w:val="22"/>
              </w:rPr>
              <w:t>00  - для физических лиц</w:t>
            </w:r>
          </w:p>
          <w:p w:rsidR="00265C95" w:rsidRPr="0000670D" w:rsidRDefault="006D3352" w:rsidP="006D3352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4</w:t>
            </w:r>
            <w:r w:rsidR="00DD27E8" w:rsidRPr="0000670D">
              <w:rPr>
                <w:rFonts w:ascii="Times New Roman" w:hAnsi="Times New Roman"/>
                <w:spacing w:val="-6"/>
                <w:szCs w:val="22"/>
              </w:rPr>
              <w:t>00  - для юридических лиц</w:t>
            </w:r>
          </w:p>
        </w:tc>
      </w:tr>
      <w:tr w:rsidR="0000670D" w:rsidRPr="0000670D" w:rsidTr="00B804CE">
        <w:trPr>
          <w:trHeight w:val="273"/>
        </w:trPr>
        <w:tc>
          <w:tcPr>
            <w:tcW w:w="851" w:type="dxa"/>
            <w:shd w:val="clear" w:color="auto" w:fill="DBE5F1" w:themeFill="accent1" w:themeFillTint="33"/>
          </w:tcPr>
          <w:p w:rsidR="000B338D" w:rsidRPr="0000670D" w:rsidRDefault="000B338D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B338D" w:rsidRPr="0000670D" w:rsidRDefault="009673DF" w:rsidP="00B336AC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b/>
                <w:szCs w:val="22"/>
              </w:rPr>
              <w:t>У</w:t>
            </w:r>
            <w:r w:rsidR="000B338D" w:rsidRPr="0000670D">
              <w:rPr>
                <w:rFonts w:ascii="Times New Roman" w:hAnsi="Times New Roman"/>
                <w:b/>
                <w:szCs w:val="22"/>
              </w:rPr>
              <w:t>слуги по биржевым сделкам с ценным</w:t>
            </w:r>
            <w:r w:rsidRPr="0000670D">
              <w:rPr>
                <w:rFonts w:ascii="Times New Roman" w:hAnsi="Times New Roman"/>
                <w:b/>
                <w:szCs w:val="22"/>
              </w:rPr>
              <w:t xml:space="preserve">и бумагами на </w:t>
            </w:r>
            <w:r w:rsidR="00CE6C03" w:rsidRPr="0000670D">
              <w:rPr>
                <w:rFonts w:ascii="Times New Roman" w:hAnsi="Times New Roman"/>
                <w:b/>
                <w:szCs w:val="22"/>
              </w:rPr>
              <w:t>П</w:t>
            </w:r>
            <w:r w:rsidR="000B338D" w:rsidRPr="0000670D">
              <w:rPr>
                <w:rFonts w:ascii="Times New Roman" w:hAnsi="Times New Roman"/>
                <w:b/>
                <w:szCs w:val="22"/>
              </w:rPr>
              <w:t>АО «Московская биржа»</w:t>
            </w:r>
            <w:r w:rsidR="00D120CF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00670D" w:rsidRPr="0000670D" w:rsidTr="00B804CE">
        <w:tc>
          <w:tcPr>
            <w:tcW w:w="851" w:type="dxa"/>
          </w:tcPr>
          <w:p w:rsidR="000B338D" w:rsidRPr="000067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B338D" w:rsidRPr="0000670D" w:rsidRDefault="000B338D" w:rsidP="00FD3EF0">
            <w:pPr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b/>
                <w:i/>
                <w:szCs w:val="22"/>
              </w:rPr>
              <w:t>Тариф - «Активный трейдер</w:t>
            </w:r>
            <w:proofErr w:type="gramStart"/>
            <w:r w:rsidRPr="0000670D">
              <w:rPr>
                <w:rFonts w:ascii="Times New Roman" w:hAnsi="Times New Roman"/>
                <w:b/>
                <w:i/>
                <w:szCs w:val="22"/>
              </w:rPr>
              <w:t>»</w:t>
            </w:r>
            <w:r w:rsidRPr="0000670D">
              <w:rPr>
                <w:rFonts w:ascii="Times New Roman" w:hAnsi="Times New Roman"/>
                <w:b/>
                <w:szCs w:val="22"/>
              </w:rPr>
              <w:t>-</w:t>
            </w:r>
            <w:proofErr w:type="gramEnd"/>
            <w:r w:rsidRPr="0000670D">
              <w:rPr>
                <w:rFonts w:ascii="Times New Roman" w:hAnsi="Times New Roman"/>
                <w:b/>
                <w:szCs w:val="22"/>
              </w:rPr>
              <w:t>«</w:t>
            </w:r>
            <w:r w:rsidR="0005646F" w:rsidRPr="0000670D">
              <w:rPr>
                <w:rFonts w:ascii="Times New Roman" w:hAnsi="Times New Roman"/>
                <w:szCs w:val="22"/>
              </w:rPr>
              <w:t>Фондовый рынок</w:t>
            </w:r>
            <w:r w:rsidRPr="0000670D">
              <w:rPr>
                <w:rFonts w:ascii="Times New Roman" w:hAnsi="Times New Roman"/>
                <w:szCs w:val="22"/>
              </w:rPr>
              <w:t>»</w:t>
            </w:r>
            <w:r w:rsidR="00FD3EF0" w:rsidRPr="0000670D">
              <w:rPr>
                <w:rFonts w:ascii="Times New Roman" w:hAnsi="Times New Roman"/>
                <w:b/>
                <w:szCs w:val="22"/>
                <w:vertAlign w:val="superscript"/>
              </w:rPr>
              <w:t xml:space="preserve"> (2)</w:t>
            </w:r>
          </w:p>
        </w:tc>
      </w:tr>
      <w:tr w:rsidR="0000670D" w:rsidRPr="0000670D" w:rsidTr="00B804CE">
        <w:tc>
          <w:tcPr>
            <w:tcW w:w="851" w:type="dxa"/>
          </w:tcPr>
          <w:p w:rsidR="000B338D" w:rsidRPr="000067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2.1.1.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B338D" w:rsidRPr="0000670D" w:rsidRDefault="000B338D" w:rsidP="00195D49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195D49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>счета депо</w:t>
            </w:r>
            <w:r w:rsidR="00996307" w:rsidRPr="0000670D">
              <w:rPr>
                <w:rFonts w:ascii="Times New Roman" w:hAnsi="Times New Roman"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szCs w:val="22"/>
              </w:rPr>
              <w:t xml:space="preserve">при учете ценных бумаг </w:t>
            </w:r>
            <w:r w:rsidR="002878BA" w:rsidRPr="0000670D">
              <w:rPr>
                <w:rFonts w:ascii="Times New Roman" w:hAnsi="Times New Roman"/>
                <w:szCs w:val="22"/>
              </w:rPr>
              <w:t>на счете</w:t>
            </w:r>
            <w:r w:rsidRPr="0000670D">
              <w:rPr>
                <w:rFonts w:ascii="Times New Roman" w:hAnsi="Times New Roman"/>
                <w:szCs w:val="22"/>
              </w:rPr>
              <w:t xml:space="preserve">, включая тарифы </w:t>
            </w:r>
            <w:r w:rsidR="00B336AC" w:rsidRPr="0000670D">
              <w:rPr>
                <w:rFonts w:ascii="Times New Roman" w:hAnsi="Times New Roman"/>
                <w:szCs w:val="22"/>
              </w:rPr>
              <w:br/>
            </w:r>
            <w:r w:rsidR="006A5C1C" w:rsidRPr="0000670D">
              <w:rPr>
                <w:rFonts w:ascii="Times New Roman" w:hAnsi="Times New Roman"/>
                <w:szCs w:val="22"/>
              </w:rPr>
              <w:t xml:space="preserve">НКО АО НРД </w:t>
            </w:r>
            <w:bookmarkStart w:id="1" w:name="OLE_LINK3"/>
            <w:bookmarkStart w:id="2" w:name="OLE_LINK4"/>
            <w:r w:rsidRPr="0000670D">
              <w:rPr>
                <w:rFonts w:ascii="Times New Roman" w:hAnsi="Times New Roman"/>
                <w:szCs w:val="22"/>
              </w:rPr>
              <w:t>(по каждому разделу)</w:t>
            </w:r>
            <w:bookmarkEnd w:id="1"/>
            <w:bookmarkEnd w:id="2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338D" w:rsidRPr="0000670D" w:rsidRDefault="006D3352" w:rsidP="00C42F21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4</w:t>
            </w:r>
            <w:r w:rsidR="000B338D" w:rsidRPr="0000670D">
              <w:rPr>
                <w:rFonts w:ascii="Times New Roman" w:hAnsi="Times New Roman"/>
                <w:spacing w:val="-6"/>
                <w:szCs w:val="22"/>
              </w:rPr>
              <w:t>00 (для физических лиц)</w:t>
            </w:r>
          </w:p>
          <w:p w:rsidR="000B338D" w:rsidRPr="0000670D" w:rsidRDefault="006D3352" w:rsidP="004C59CE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8</w:t>
            </w:r>
            <w:r w:rsidR="000B338D" w:rsidRPr="0000670D">
              <w:rPr>
                <w:rFonts w:ascii="Times New Roman" w:hAnsi="Times New Roman"/>
                <w:spacing w:val="-6"/>
                <w:szCs w:val="22"/>
              </w:rPr>
              <w:t>00 (для юридических лиц</w:t>
            </w:r>
            <w:r w:rsidR="004C59CE" w:rsidRPr="0000670D">
              <w:rPr>
                <w:rFonts w:ascii="Times New Roman" w:hAnsi="Times New Roman"/>
                <w:spacing w:val="-6"/>
                <w:szCs w:val="22"/>
              </w:rPr>
              <w:t>, индивидуальных предпринимателей, физических лиц, занимающихся в установленном законодательством РФ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4C59CE" w:rsidRPr="0000670D">
              <w:rPr>
                <w:rFonts w:ascii="Times New Roman" w:hAnsi="Times New Roman"/>
                <w:spacing w:val="-6"/>
                <w:szCs w:val="22"/>
              </w:rPr>
              <w:t>порядке частной практикой)</w:t>
            </w:r>
          </w:p>
          <w:p w:rsidR="000B338D" w:rsidRPr="0000670D" w:rsidRDefault="000B338D" w:rsidP="003D0B83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 xml:space="preserve">3 000 (для юридических лиц  </w:t>
            </w:r>
            <w:r w:rsidRPr="0000670D">
              <w:rPr>
                <w:rFonts w:ascii="Times New Roman" w:hAnsi="Times New Roman"/>
                <w:spacing w:val="-6"/>
                <w:szCs w:val="22"/>
              </w:rPr>
              <w:lastRenderedPageBreak/>
              <w:t>-  номинальных держателей)</w:t>
            </w:r>
          </w:p>
        </w:tc>
      </w:tr>
      <w:tr w:rsidR="0000670D" w:rsidRPr="0000670D" w:rsidTr="00B804CE">
        <w:trPr>
          <w:trHeight w:val="205"/>
        </w:trPr>
        <w:tc>
          <w:tcPr>
            <w:tcW w:w="851" w:type="dxa"/>
          </w:tcPr>
          <w:p w:rsidR="000B338D" w:rsidRPr="000067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2.1.2.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B338D" w:rsidRPr="0000670D" w:rsidRDefault="000B338D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338D" w:rsidRPr="0000670D" w:rsidRDefault="000B338D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0B338D" w:rsidRPr="000067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2.1.3</w:t>
            </w:r>
            <w:r w:rsidR="00630CA6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B338D" w:rsidRPr="0000670D" w:rsidRDefault="000B338D" w:rsidP="004C513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Абонентская плата в месяц за ведение</w:t>
            </w:r>
            <w:r w:rsidR="00543DB6" w:rsidRPr="0000670D">
              <w:rPr>
                <w:rFonts w:ascii="Times New Roman" w:hAnsi="Times New Roman"/>
                <w:szCs w:val="22"/>
              </w:rPr>
              <w:t xml:space="preserve"> торгового</w:t>
            </w:r>
            <w:r w:rsidRPr="0000670D">
              <w:rPr>
                <w:rFonts w:ascii="Times New Roman" w:hAnsi="Times New Roman"/>
                <w:szCs w:val="22"/>
              </w:rPr>
              <w:t xml:space="preserve"> счета депо в случае отсутствия операций по счету депо и нулевом остатке</w:t>
            </w:r>
            <w:r w:rsidR="00202366" w:rsidRPr="0000670D">
              <w:rPr>
                <w:rFonts w:ascii="Times New Roman" w:hAnsi="Times New Roman"/>
                <w:szCs w:val="22"/>
              </w:rPr>
              <w:t xml:space="preserve"> ценных бумаг</w:t>
            </w:r>
            <w:r w:rsidRPr="0000670D">
              <w:rPr>
                <w:rFonts w:ascii="Times New Roman" w:hAnsi="Times New Roman"/>
                <w:szCs w:val="22"/>
              </w:rPr>
              <w:t xml:space="preserve"> на счете депо Депонента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338D" w:rsidRPr="0000670D" w:rsidRDefault="000B338D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0B338D" w:rsidRPr="0000670D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B338D" w:rsidRPr="0000670D" w:rsidRDefault="000B338D" w:rsidP="00FD3EF0">
            <w:pPr>
              <w:ind w:firstLine="34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b/>
                <w:i/>
                <w:szCs w:val="22"/>
              </w:rPr>
              <w:t>Тариф - «</w:t>
            </w:r>
            <w:r w:rsidR="00E822FA" w:rsidRPr="0000670D">
              <w:rPr>
                <w:rFonts w:ascii="Times New Roman" w:hAnsi="Times New Roman"/>
                <w:b/>
                <w:i/>
                <w:szCs w:val="22"/>
              </w:rPr>
              <w:t>Частный и</w:t>
            </w:r>
            <w:r w:rsidRPr="0000670D">
              <w:rPr>
                <w:rFonts w:ascii="Times New Roman" w:hAnsi="Times New Roman"/>
                <w:b/>
                <w:i/>
                <w:szCs w:val="22"/>
              </w:rPr>
              <w:t>нвестор»</w:t>
            </w:r>
            <w:r w:rsidR="00BE6C70" w:rsidRPr="0000670D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proofErr w:type="gramStart"/>
            <w:r w:rsidRPr="0000670D">
              <w:rPr>
                <w:rFonts w:ascii="Times New Roman" w:hAnsi="Times New Roman"/>
                <w:b/>
                <w:szCs w:val="22"/>
              </w:rPr>
              <w:t>-</w:t>
            </w:r>
            <w:r w:rsidR="0005646F" w:rsidRPr="0000670D">
              <w:rPr>
                <w:rFonts w:ascii="Times New Roman" w:hAnsi="Times New Roman"/>
                <w:b/>
                <w:szCs w:val="22"/>
              </w:rPr>
              <w:t>«</w:t>
            </w:r>
            <w:proofErr w:type="gramEnd"/>
            <w:r w:rsidR="0005646F" w:rsidRPr="0000670D">
              <w:rPr>
                <w:rFonts w:ascii="Times New Roman" w:hAnsi="Times New Roman"/>
                <w:szCs w:val="22"/>
              </w:rPr>
              <w:t>Фондовый рынок»</w:t>
            </w:r>
            <w:r w:rsidR="00FD3EF0"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935AF9" w:rsidRPr="0000670D">
              <w:rPr>
                <w:rFonts w:ascii="Times New Roman" w:hAnsi="Times New Roman"/>
                <w:b/>
                <w:i/>
                <w:szCs w:val="22"/>
              </w:rPr>
              <w:t>(</w:t>
            </w:r>
            <w:r w:rsidRPr="0000670D">
              <w:rPr>
                <w:rFonts w:ascii="Times New Roman" w:hAnsi="Times New Roman"/>
                <w:b/>
                <w:i/>
                <w:szCs w:val="22"/>
              </w:rPr>
              <w:t>только для физических лиц</w:t>
            </w:r>
            <w:r w:rsidR="00935AF9" w:rsidRPr="0000670D">
              <w:rPr>
                <w:rFonts w:ascii="Times New Roman" w:hAnsi="Times New Roman"/>
                <w:b/>
                <w:i/>
                <w:szCs w:val="22"/>
              </w:rPr>
              <w:t>)</w:t>
            </w:r>
            <w:r w:rsidR="00FD3EF0" w:rsidRPr="0000670D">
              <w:rPr>
                <w:rFonts w:ascii="Times New Roman" w:hAnsi="Times New Roman"/>
                <w:b/>
                <w:szCs w:val="22"/>
                <w:vertAlign w:val="superscript"/>
              </w:rPr>
              <w:t xml:space="preserve"> (2)</w:t>
            </w:r>
          </w:p>
        </w:tc>
      </w:tr>
      <w:tr w:rsidR="0000670D" w:rsidRPr="0000670D" w:rsidTr="00B804CE">
        <w:tc>
          <w:tcPr>
            <w:tcW w:w="851" w:type="dxa"/>
          </w:tcPr>
          <w:p w:rsidR="00DA31D7" w:rsidRPr="0000670D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0B338D" w:rsidRPr="0000670D">
              <w:rPr>
                <w:sz w:val="22"/>
                <w:szCs w:val="22"/>
              </w:rPr>
              <w:t>2.</w:t>
            </w:r>
            <w:r w:rsidR="00FE71CE" w:rsidRPr="0000670D">
              <w:rPr>
                <w:sz w:val="22"/>
                <w:szCs w:val="22"/>
              </w:rPr>
              <w:t>1</w:t>
            </w:r>
            <w:r w:rsidR="000B338D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31D7" w:rsidRPr="0000670D" w:rsidRDefault="00DA31D7" w:rsidP="004B1304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</w:t>
            </w:r>
            <w:r w:rsidR="004B1304" w:rsidRPr="0000670D">
              <w:rPr>
                <w:rFonts w:ascii="Times New Roman" w:hAnsi="Times New Roman"/>
                <w:szCs w:val="22"/>
              </w:rPr>
              <w:t xml:space="preserve">в месяц </w:t>
            </w:r>
            <w:r w:rsidRPr="0000670D">
              <w:rPr>
                <w:rFonts w:ascii="Times New Roman" w:hAnsi="Times New Roman"/>
                <w:szCs w:val="22"/>
              </w:rPr>
              <w:t xml:space="preserve">за ведение </w:t>
            </w:r>
            <w:r w:rsidR="00624C05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>счета депо</w:t>
            </w:r>
            <w:r w:rsidR="00C80891" w:rsidRPr="0000670D">
              <w:rPr>
                <w:rFonts w:ascii="Times New Roman" w:hAnsi="Times New Roman"/>
                <w:szCs w:val="22"/>
              </w:rPr>
              <w:t>,</w:t>
            </w:r>
            <w:r w:rsidRPr="0000670D">
              <w:rPr>
                <w:rFonts w:ascii="Times New Roman" w:hAnsi="Times New Roman"/>
                <w:szCs w:val="22"/>
              </w:rPr>
              <w:t xml:space="preserve"> при наличии операций с ценными бумагами</w:t>
            </w:r>
            <w:r w:rsidR="0015296A" w:rsidRPr="0000670D">
              <w:rPr>
                <w:rFonts w:ascii="Times New Roman" w:hAnsi="Times New Roman"/>
                <w:szCs w:val="22"/>
              </w:rPr>
              <w:t xml:space="preserve"> на счете, включая тарифы НКО АО НРД</w:t>
            </w:r>
            <w:r w:rsidR="00274DDE"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15296A" w:rsidRPr="0000670D">
              <w:rPr>
                <w:rFonts w:ascii="Times New Roman" w:hAnsi="Times New Roman"/>
                <w:szCs w:val="22"/>
              </w:rPr>
              <w:t>(по каждому разделу)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1D7" w:rsidRPr="0000670D" w:rsidRDefault="006D3352" w:rsidP="00C42F21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3</w:t>
            </w:r>
            <w:r w:rsidR="0056755E" w:rsidRPr="0000670D">
              <w:rPr>
                <w:rFonts w:ascii="Times New Roman" w:hAnsi="Times New Roman"/>
                <w:szCs w:val="22"/>
              </w:rPr>
              <w:t>00</w:t>
            </w:r>
          </w:p>
        </w:tc>
      </w:tr>
      <w:tr w:rsidR="0000670D" w:rsidRPr="0000670D" w:rsidTr="00B804CE">
        <w:trPr>
          <w:trHeight w:val="205"/>
        </w:trPr>
        <w:tc>
          <w:tcPr>
            <w:tcW w:w="851" w:type="dxa"/>
          </w:tcPr>
          <w:p w:rsidR="00DA31D7" w:rsidRPr="0000670D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FE71CE" w:rsidRPr="0000670D">
              <w:rPr>
                <w:sz w:val="22"/>
                <w:szCs w:val="22"/>
              </w:rPr>
              <w:t>2</w:t>
            </w:r>
            <w:r w:rsidR="000B338D"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31D7" w:rsidRPr="0000670D" w:rsidRDefault="00DA31D7" w:rsidP="00345D5B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1D7" w:rsidRPr="0000670D" w:rsidRDefault="00DA31D7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DA31D7" w:rsidRPr="0000670D" w:rsidRDefault="00DA31D7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0B338D" w:rsidRPr="0000670D"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A31D7" w:rsidRPr="0000670D" w:rsidRDefault="00DA31D7" w:rsidP="004B1304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Абонентская плата</w:t>
            </w:r>
            <w:r w:rsidR="004B1304" w:rsidRPr="0000670D">
              <w:rPr>
                <w:rFonts w:ascii="Times New Roman" w:hAnsi="Times New Roman"/>
                <w:szCs w:val="22"/>
              </w:rPr>
              <w:t xml:space="preserve"> в месяц</w:t>
            </w:r>
            <w:r w:rsidRPr="0000670D">
              <w:rPr>
                <w:rFonts w:ascii="Times New Roman" w:hAnsi="Times New Roman"/>
                <w:szCs w:val="22"/>
              </w:rPr>
              <w:t xml:space="preserve"> за ведение</w:t>
            </w:r>
            <w:r w:rsidR="00624C05" w:rsidRPr="0000670D">
              <w:rPr>
                <w:rFonts w:ascii="Times New Roman" w:hAnsi="Times New Roman"/>
                <w:szCs w:val="22"/>
              </w:rPr>
              <w:t xml:space="preserve"> торгового</w:t>
            </w:r>
            <w:r w:rsidRPr="0000670D">
              <w:rPr>
                <w:rFonts w:ascii="Times New Roman" w:hAnsi="Times New Roman"/>
                <w:szCs w:val="22"/>
              </w:rPr>
              <w:t xml:space="preserve"> счета месяц</w:t>
            </w:r>
            <w:r w:rsidR="00C0527F" w:rsidRPr="0000670D">
              <w:rPr>
                <w:rFonts w:ascii="Times New Roman" w:hAnsi="Times New Roman"/>
                <w:szCs w:val="22"/>
              </w:rPr>
              <w:t>,</w:t>
            </w:r>
            <w:r w:rsidRPr="0000670D">
              <w:rPr>
                <w:rFonts w:ascii="Times New Roman" w:hAnsi="Times New Roman"/>
                <w:szCs w:val="22"/>
              </w:rPr>
              <w:t xml:space="preserve"> при наличии ценных бумаг и при отсутствии операций по счету депо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1D7" w:rsidRPr="0000670D" w:rsidRDefault="00264634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6380" w:rsidRPr="0000670D" w:rsidRDefault="00AD6380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2.3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380" w:rsidRPr="0000670D" w:rsidRDefault="00AD6380" w:rsidP="00FD3EF0">
            <w:pPr>
              <w:ind w:firstLine="34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b/>
                <w:i/>
                <w:szCs w:val="22"/>
              </w:rPr>
              <w:t>Тариф – «Портфельный инвестор»</w:t>
            </w:r>
            <w:r w:rsidR="00711800" w:rsidRPr="0000670D">
              <w:rPr>
                <w:rFonts w:ascii="Times New Roman" w:hAnsi="Times New Roman"/>
                <w:i/>
                <w:szCs w:val="22"/>
                <w:vertAlign w:val="superscript"/>
              </w:rPr>
              <w:t xml:space="preserve"> </w:t>
            </w:r>
            <w:r w:rsidR="00FD3EF0" w:rsidRPr="0000670D">
              <w:rPr>
                <w:rFonts w:ascii="Times New Roman" w:hAnsi="Times New Roman"/>
                <w:i/>
                <w:szCs w:val="22"/>
                <w:vertAlign w:val="superscript"/>
              </w:rPr>
              <w:t>_</w:t>
            </w:r>
            <w:r w:rsidRPr="0000670D">
              <w:rPr>
                <w:rFonts w:ascii="Times New Roman" w:hAnsi="Times New Roman"/>
                <w:b/>
                <w:szCs w:val="22"/>
              </w:rPr>
              <w:t>«</w:t>
            </w:r>
            <w:r w:rsidR="0005646F" w:rsidRPr="0000670D">
              <w:rPr>
                <w:rFonts w:ascii="Times New Roman" w:hAnsi="Times New Roman"/>
                <w:szCs w:val="22"/>
              </w:rPr>
              <w:t>Фондовый рынок</w:t>
            </w:r>
            <w:r w:rsidRPr="0000670D">
              <w:rPr>
                <w:rFonts w:ascii="Times New Roman" w:hAnsi="Times New Roman"/>
                <w:szCs w:val="22"/>
              </w:rPr>
              <w:t>»</w:t>
            </w:r>
            <w:r w:rsidR="00FD3EF0" w:rsidRPr="0000670D">
              <w:rPr>
                <w:rFonts w:ascii="Times New Roman" w:hAnsi="Times New Roman"/>
                <w:b/>
                <w:szCs w:val="22"/>
                <w:vertAlign w:val="superscript"/>
              </w:rPr>
              <w:t>(3)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237316" w:rsidRPr="0000670D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FF799C" w:rsidRPr="0000670D">
              <w:rPr>
                <w:sz w:val="22"/>
                <w:szCs w:val="22"/>
              </w:rPr>
              <w:t>3.</w:t>
            </w:r>
            <w:r w:rsidR="00FE71CE" w:rsidRPr="0000670D">
              <w:rPr>
                <w:sz w:val="22"/>
                <w:szCs w:val="22"/>
              </w:rPr>
              <w:t>1</w:t>
            </w:r>
            <w:r w:rsidR="00FF799C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7316" w:rsidRPr="0000670D" w:rsidRDefault="00237316" w:rsidP="0077103D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17798B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>счета депо при учете цен</w:t>
            </w:r>
            <w:r w:rsidR="0017798B" w:rsidRPr="0000670D">
              <w:rPr>
                <w:rFonts w:ascii="Times New Roman" w:hAnsi="Times New Roman"/>
                <w:szCs w:val="22"/>
              </w:rPr>
              <w:t>ных бумаг</w:t>
            </w:r>
            <w:r w:rsidR="00460B54" w:rsidRPr="0000670D">
              <w:rPr>
                <w:rFonts w:ascii="Times New Roman" w:hAnsi="Times New Roman"/>
                <w:szCs w:val="22"/>
              </w:rPr>
              <w:t xml:space="preserve">, </w:t>
            </w:r>
            <w:r w:rsidRPr="0000670D">
              <w:rPr>
                <w:rFonts w:ascii="Times New Roman" w:hAnsi="Times New Roman"/>
                <w:szCs w:val="22"/>
              </w:rPr>
              <w:t xml:space="preserve">включая тарифы </w:t>
            </w:r>
            <w:r w:rsidR="0077103D" w:rsidRPr="0000670D">
              <w:rPr>
                <w:rFonts w:ascii="Times New Roman" w:hAnsi="Times New Roman"/>
                <w:szCs w:val="22"/>
              </w:rPr>
              <w:t>НК АО </w:t>
            </w:r>
            <w:r w:rsidR="009B64F2" w:rsidRPr="0000670D">
              <w:rPr>
                <w:rFonts w:ascii="Times New Roman" w:hAnsi="Times New Roman"/>
                <w:szCs w:val="22"/>
              </w:rPr>
              <w:t>НРД</w:t>
            </w:r>
            <w:r w:rsidR="00F708C4"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935AF9" w:rsidRPr="0000670D">
              <w:rPr>
                <w:rFonts w:ascii="Times New Roman" w:hAnsi="Times New Roman"/>
                <w:szCs w:val="22"/>
              </w:rPr>
              <w:t>(по каждому разделу)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316" w:rsidRPr="0000670D" w:rsidRDefault="00D62094" w:rsidP="00C606D8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200</w:t>
            </w:r>
            <w:r w:rsidR="00804C11" w:rsidRPr="0000670D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>(</w:t>
            </w:r>
            <w:r w:rsidR="00804C11" w:rsidRPr="0000670D">
              <w:rPr>
                <w:rFonts w:ascii="Times New Roman" w:hAnsi="Times New Roman"/>
                <w:spacing w:val="-6"/>
                <w:szCs w:val="22"/>
              </w:rPr>
              <w:t>д</w:t>
            </w:r>
            <w:r w:rsidR="00237316" w:rsidRPr="0000670D">
              <w:rPr>
                <w:rFonts w:ascii="Times New Roman" w:hAnsi="Times New Roman"/>
                <w:spacing w:val="-6"/>
                <w:szCs w:val="22"/>
              </w:rPr>
              <w:t>ля физических лиц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>)</w:t>
            </w:r>
          </w:p>
          <w:p w:rsidR="00AF4CB4" w:rsidRPr="0000670D" w:rsidRDefault="006D3352" w:rsidP="000061E1">
            <w:pPr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5</w:t>
            </w:r>
            <w:r w:rsidR="00D62094" w:rsidRPr="0000670D">
              <w:rPr>
                <w:rFonts w:ascii="Times New Roman" w:hAnsi="Times New Roman"/>
                <w:spacing w:val="-6"/>
                <w:szCs w:val="22"/>
              </w:rPr>
              <w:t>00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 xml:space="preserve"> (для юридических лиц,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00670D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FF799C" w:rsidRPr="0000670D">
              <w:rPr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:rsidR="00237316" w:rsidRPr="0000670D" w:rsidRDefault="00237316" w:rsidP="004C513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7F6473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 xml:space="preserve">счета депо в случае отсутствия операций по счету депо и нулевом остатке </w:t>
            </w:r>
            <w:r w:rsidR="00202366" w:rsidRPr="0000670D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00670D">
              <w:rPr>
                <w:rFonts w:ascii="Times New Roman" w:hAnsi="Times New Roman"/>
                <w:szCs w:val="22"/>
              </w:rPr>
              <w:t>на счете депо Депонента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316" w:rsidRPr="0000670D" w:rsidRDefault="00237316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237316" w:rsidRPr="0000670D" w:rsidRDefault="00237316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2.</w:t>
            </w:r>
            <w:r w:rsidR="00630CA6" w:rsidRPr="0000670D">
              <w:rPr>
                <w:sz w:val="22"/>
                <w:szCs w:val="22"/>
              </w:rPr>
              <w:t>3.3</w:t>
            </w:r>
            <w:r w:rsidR="00FF799C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7316" w:rsidRPr="0000670D" w:rsidRDefault="00237316" w:rsidP="002C6935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Изменение нетто-позиции (изменени</w:t>
            </w:r>
            <w:r w:rsidR="00460B54" w:rsidRPr="0000670D">
              <w:rPr>
                <w:rFonts w:ascii="Times New Roman" w:hAnsi="Times New Roman"/>
                <w:szCs w:val="22"/>
              </w:rPr>
              <w:t xml:space="preserve">е остатка по каждому выпуску </w:t>
            </w:r>
            <w:r w:rsidR="002C6935" w:rsidRPr="0000670D">
              <w:rPr>
                <w:rFonts w:ascii="Times New Roman" w:hAnsi="Times New Roman"/>
                <w:szCs w:val="22"/>
              </w:rPr>
              <w:t>ценных бумаг</w:t>
            </w:r>
            <w:r w:rsidR="00AA7540" w:rsidRPr="0000670D">
              <w:rPr>
                <w:rFonts w:ascii="Times New Roman" w:hAnsi="Times New Roman"/>
                <w:szCs w:val="22"/>
              </w:rPr>
              <w:t>)</w:t>
            </w:r>
            <w:r w:rsidR="00460B54" w:rsidRPr="0000670D">
              <w:rPr>
                <w:rFonts w:ascii="Times New Roman" w:hAnsi="Times New Roman"/>
                <w:szCs w:val="22"/>
              </w:rPr>
              <w:t xml:space="preserve"> по итогам операционного дня</w:t>
            </w:r>
            <w:r w:rsidR="00AA7540" w:rsidRPr="0000670D">
              <w:rPr>
                <w:rFonts w:ascii="Times New Roman" w:hAnsi="Times New Roman"/>
                <w:szCs w:val="22"/>
              </w:rPr>
              <w:t>,</w:t>
            </w:r>
            <w:r w:rsidR="00460B54" w:rsidRPr="0000670D">
              <w:rPr>
                <w:rFonts w:ascii="Times New Roman" w:hAnsi="Times New Roman"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szCs w:val="22"/>
              </w:rPr>
              <w:t>включа</w:t>
            </w:r>
            <w:r w:rsidR="00AA7540" w:rsidRPr="0000670D">
              <w:rPr>
                <w:rFonts w:ascii="Times New Roman" w:hAnsi="Times New Roman"/>
                <w:szCs w:val="22"/>
              </w:rPr>
              <w:t xml:space="preserve">я тарифы </w:t>
            </w:r>
            <w:r w:rsidR="009B64F2" w:rsidRPr="0000670D">
              <w:rPr>
                <w:rFonts w:ascii="Times New Roman" w:hAnsi="Times New Roman"/>
                <w:szCs w:val="22"/>
              </w:rPr>
              <w:t>НКО АО НРД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316" w:rsidRPr="0000670D" w:rsidRDefault="006D3352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50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7356" w:rsidRPr="0000670D" w:rsidRDefault="005D7356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0414" w:rsidRPr="0000670D" w:rsidRDefault="005359C8" w:rsidP="000E0414">
            <w:pPr>
              <w:ind w:lef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b/>
                <w:szCs w:val="22"/>
              </w:rPr>
              <w:t>Услуги по биржевым сделкам на</w:t>
            </w:r>
            <w:r w:rsidR="00EE4749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D7356" w:rsidRPr="0000670D">
              <w:rPr>
                <w:rFonts w:ascii="Times New Roman" w:hAnsi="Times New Roman"/>
                <w:b/>
                <w:szCs w:val="22"/>
              </w:rPr>
              <w:t>ПАО «Санкт-Петербургская биржа»</w:t>
            </w:r>
            <w:r w:rsidR="000E0414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357BF" w:rsidRPr="0000670D">
              <w:rPr>
                <w:rFonts w:ascii="Times New Roman" w:hAnsi="Times New Roman"/>
                <w:b/>
                <w:szCs w:val="22"/>
              </w:rPr>
              <w:t>Рынок акций</w:t>
            </w:r>
          </w:p>
          <w:p w:rsidR="005D7356" w:rsidRPr="0000670D" w:rsidRDefault="0015296A" w:rsidP="0082575F">
            <w:pPr>
              <w:ind w:lef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(вне зависимости от типа тарифа по биржевым сделкам</w:t>
            </w:r>
            <w:r w:rsidR="002C6935" w:rsidRPr="0000670D">
              <w:rPr>
                <w:rFonts w:ascii="Times New Roman" w:hAnsi="Times New Roman"/>
                <w:spacing w:val="-4"/>
                <w:szCs w:val="22"/>
              </w:rPr>
              <w:t xml:space="preserve"> на ПАО «Московская биржа»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)</w:t>
            </w:r>
            <w:r w:rsidR="00CC3451" w:rsidRPr="0000670D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  <w:r w:rsidR="00CC3451"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4</w:t>
            </w:r>
            <w:r w:rsidR="00CC3451"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="00CC3451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CC3451" w:rsidRPr="0000670D" w:rsidRDefault="00CC345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E4749" w:rsidRPr="0000670D" w:rsidRDefault="00AF10E1" w:rsidP="005C628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5C628D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>счета депо при учете ценных бумаг (по каждому разделу)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55DC" w:rsidRPr="0000670D" w:rsidRDefault="00EB55D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ПАО "Бест 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Эффортс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 xml:space="preserve"> Банк"</w:t>
            </w:r>
            <w:r w:rsidR="002C6935" w:rsidRPr="0000670D">
              <w:rPr>
                <w:rFonts w:ascii="Times New Roman" w:hAnsi="Times New Roman"/>
                <w:szCs w:val="22"/>
              </w:rPr>
              <w:t>/АО «КЦ МФБ»</w:t>
            </w:r>
          </w:p>
          <w:p w:rsidR="00CC3451" w:rsidRPr="0000670D" w:rsidRDefault="002C6935" w:rsidP="0077103D">
            <w:pPr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F02A75" w:rsidRPr="0000670D">
              <w:rPr>
                <w:rFonts w:ascii="Times New Roman" w:hAnsi="Times New Roman"/>
                <w:szCs w:val="22"/>
              </w:rPr>
              <w:t>3</w:t>
            </w:r>
            <w:r w:rsidR="00CC3451" w:rsidRPr="0000670D">
              <w:rPr>
                <w:rFonts w:ascii="Times New Roman" w:hAnsi="Times New Roman"/>
                <w:szCs w:val="22"/>
              </w:rPr>
              <w:t>00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 xml:space="preserve"> (для физических лиц)</w:t>
            </w:r>
          </w:p>
          <w:p w:rsidR="00CC3451" w:rsidRPr="0000670D" w:rsidRDefault="002C6935" w:rsidP="00F02A75">
            <w:pPr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t>+</w:t>
            </w:r>
            <w:r w:rsidR="00F02A75" w:rsidRPr="0000670D">
              <w:rPr>
                <w:rFonts w:ascii="Times New Roman" w:hAnsi="Times New Roman"/>
                <w:spacing w:val="-6"/>
                <w:szCs w:val="22"/>
              </w:rPr>
              <w:t>8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>00</w:t>
            </w:r>
            <w:r w:rsidR="00F02A75" w:rsidRPr="0000670D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>(для юридических лиц,</w:t>
            </w:r>
            <w:r w:rsidR="001013C4" w:rsidRPr="0000670D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="00AF4CB4" w:rsidRPr="0000670D">
              <w:rPr>
                <w:rFonts w:ascii="Times New Roman" w:hAnsi="Times New Roman"/>
                <w:spacing w:val="-6"/>
                <w:szCs w:val="22"/>
              </w:rPr>
              <w:t>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CC3451" w:rsidRPr="0000670D" w:rsidRDefault="00CC345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90103" w:rsidRPr="0000670D" w:rsidRDefault="00590103" w:rsidP="002C6935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Исполнение поручений по зачислению/списанию ценных бумаг по биржевым сделкам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6307" w:rsidRPr="0000670D" w:rsidRDefault="00AF10E1" w:rsidP="006D3352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</w:tcPr>
          <w:p w:rsidR="00AF10E1" w:rsidRPr="0000670D" w:rsidRDefault="00AF10E1" w:rsidP="00A12604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3.3.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F10E1" w:rsidRPr="0000670D" w:rsidRDefault="00AF10E1" w:rsidP="00B336AC">
            <w:pPr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Абонентская плата в месяц за ведение </w:t>
            </w:r>
            <w:r w:rsidR="005C628D" w:rsidRPr="0000670D">
              <w:rPr>
                <w:rFonts w:ascii="Times New Roman" w:hAnsi="Times New Roman"/>
                <w:szCs w:val="22"/>
              </w:rPr>
              <w:t xml:space="preserve">торгового </w:t>
            </w:r>
            <w:r w:rsidRPr="0000670D">
              <w:rPr>
                <w:rFonts w:ascii="Times New Roman" w:hAnsi="Times New Roman"/>
                <w:szCs w:val="22"/>
              </w:rPr>
              <w:t xml:space="preserve">счета депо в случае отсутствия операций по счету депо и нулевом остатке </w:t>
            </w:r>
            <w:r w:rsidR="000E0414" w:rsidRPr="0000670D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00670D">
              <w:rPr>
                <w:rFonts w:ascii="Times New Roman" w:hAnsi="Times New Roman"/>
                <w:szCs w:val="22"/>
              </w:rPr>
              <w:t>на счете депо Депонента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10E1" w:rsidRPr="0000670D" w:rsidRDefault="00AF10E1" w:rsidP="009B64F2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3451" w:rsidRPr="0000670D" w:rsidRDefault="00CC3451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3451" w:rsidRPr="0000670D" w:rsidRDefault="00CC3451" w:rsidP="005272D0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b/>
                <w:szCs w:val="22"/>
              </w:rPr>
              <w:t xml:space="preserve">Услуги по </w:t>
            </w:r>
            <w:r w:rsidR="005272D0" w:rsidRPr="0000670D">
              <w:rPr>
                <w:rFonts w:ascii="Times New Roman" w:hAnsi="Times New Roman"/>
                <w:b/>
                <w:szCs w:val="22"/>
              </w:rPr>
              <w:t>внебиржевым</w:t>
            </w:r>
            <w:r w:rsidR="00FD7102" w:rsidRPr="0000670D">
              <w:rPr>
                <w:rFonts w:ascii="Times New Roman" w:hAnsi="Times New Roman"/>
                <w:b/>
                <w:szCs w:val="22"/>
              </w:rPr>
              <w:t xml:space="preserve"> сделкам</w:t>
            </w:r>
            <w:r w:rsidR="005272D0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FD7102" w:rsidRPr="0000670D">
              <w:rPr>
                <w:rFonts w:ascii="Times New Roman" w:hAnsi="Times New Roman"/>
                <w:b/>
                <w:szCs w:val="22"/>
              </w:rPr>
              <w:t>и/</w:t>
            </w:r>
            <w:r w:rsidR="005272D0" w:rsidRPr="0000670D">
              <w:rPr>
                <w:rFonts w:ascii="Times New Roman" w:hAnsi="Times New Roman"/>
                <w:b/>
                <w:szCs w:val="22"/>
              </w:rPr>
              <w:t>и</w:t>
            </w:r>
            <w:r w:rsidR="00FD7102" w:rsidRPr="0000670D">
              <w:rPr>
                <w:rFonts w:ascii="Times New Roman" w:hAnsi="Times New Roman"/>
                <w:b/>
                <w:szCs w:val="22"/>
              </w:rPr>
              <w:t>ли</w:t>
            </w:r>
            <w:r w:rsidR="005272D0" w:rsidRPr="0000670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b/>
                <w:szCs w:val="22"/>
              </w:rPr>
              <w:t>неторговым операциям с ценными бумагами</w:t>
            </w:r>
            <w:r w:rsidRPr="0000670D">
              <w:rPr>
                <w:rFonts w:ascii="Times New Roman" w:hAnsi="Times New Roman"/>
                <w:b/>
                <w:szCs w:val="22"/>
              </w:rPr>
              <w:br/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(вне зависимости от типа тарифа по биржевым сделкам)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00670D" w:rsidRDefault="00AF10E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00670D">
              <w:rPr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00670D" w:rsidRDefault="00590103" w:rsidP="0082575F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А</w:t>
            </w:r>
            <w:r w:rsidR="000020FF" w:rsidRPr="0000670D">
              <w:rPr>
                <w:rFonts w:ascii="Times New Roman" w:hAnsi="Times New Roman"/>
                <w:szCs w:val="22"/>
              </w:rPr>
              <w:t xml:space="preserve">бонентская плата </w:t>
            </w:r>
            <w:r w:rsidR="00265CD6" w:rsidRPr="0000670D">
              <w:rPr>
                <w:rFonts w:ascii="Times New Roman" w:hAnsi="Times New Roman"/>
                <w:szCs w:val="22"/>
              </w:rPr>
              <w:t xml:space="preserve">за ведение и </w:t>
            </w:r>
            <w:r w:rsidR="00D120CF" w:rsidRPr="0000670D">
              <w:rPr>
                <w:rFonts w:ascii="Times New Roman" w:hAnsi="Times New Roman"/>
                <w:szCs w:val="22"/>
              </w:rPr>
              <w:t>учет ценных бумаг на неторговом счете депо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5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="00D120CF" w:rsidRPr="0000670D">
              <w:rPr>
                <w:rFonts w:ascii="Times New Roman" w:hAnsi="Times New Roman"/>
                <w:spacing w:val="-4"/>
                <w:szCs w:val="22"/>
              </w:rPr>
              <w:t xml:space="preserve"> АО ИФК «</w:t>
            </w:r>
            <w:proofErr w:type="spellStart"/>
            <w:r w:rsidR="00D120CF"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="00D120CF" w:rsidRPr="0000670D">
              <w:rPr>
                <w:rFonts w:ascii="Times New Roman" w:hAnsi="Times New Roman"/>
                <w:spacing w:val="-4"/>
                <w:szCs w:val="22"/>
              </w:rPr>
              <w:t xml:space="preserve">» </w:t>
            </w:r>
            <w:r w:rsidR="0077103D" w:rsidRPr="0000670D">
              <w:rPr>
                <w:rFonts w:ascii="Times New Roman" w:hAnsi="Times New Roman"/>
                <w:szCs w:val="22"/>
              </w:rPr>
              <w:t>в НКО </w:t>
            </w:r>
            <w:r w:rsidR="00D120CF"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D120CF" w:rsidRPr="0000670D">
              <w:rPr>
                <w:rFonts w:ascii="Times New Roman" w:hAnsi="Times New Roman"/>
                <w:szCs w:val="22"/>
              </w:rPr>
              <w:t>НРД</w:t>
            </w:r>
            <w:r w:rsidR="000020FF" w:rsidRPr="0000670D">
              <w:rPr>
                <w:rFonts w:ascii="Times New Roman" w:hAnsi="Times New Roman"/>
                <w:szCs w:val="22"/>
              </w:rPr>
              <w:t xml:space="preserve">, </w:t>
            </w:r>
            <w:r w:rsidR="000020FF" w:rsidRPr="0000670D">
              <w:rPr>
                <w:rFonts w:ascii="Times New Roman" w:hAnsi="Times New Roman"/>
                <w:szCs w:val="22"/>
              </w:rPr>
              <w:lastRenderedPageBreak/>
              <w:t>включая тарифы НКО АО НРД.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00670D" w:rsidRDefault="00D120CF" w:rsidP="00B63C55">
            <w:pPr>
              <w:spacing w:before="120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pacing w:val="-6"/>
                <w:szCs w:val="22"/>
              </w:rPr>
              <w:lastRenderedPageBreak/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00670D" w:rsidRDefault="00AF10E1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2</w:t>
            </w:r>
            <w:r w:rsidRPr="0000670D">
              <w:rPr>
                <w:sz w:val="22"/>
                <w:szCs w:val="22"/>
              </w:rPr>
              <w:t>.</w:t>
            </w:r>
          </w:p>
          <w:p w:rsidR="00752FA2" w:rsidRPr="0000670D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00670D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00670D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752FA2" w:rsidRPr="0000670D" w:rsidRDefault="00752FA2" w:rsidP="006E2925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E1" w:rsidRPr="0000670D" w:rsidRDefault="00265CD6" w:rsidP="00B63C55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Абонентская плата за ведение и учет ценных бумаг на иных неторговых счетах</w:t>
            </w:r>
            <w:r w:rsidR="00D120CF" w:rsidRPr="0000670D">
              <w:rPr>
                <w:rFonts w:ascii="Times New Roman" w:hAnsi="Times New Roman"/>
                <w:szCs w:val="22"/>
              </w:rPr>
              <w:t>, за каждый выпуск ценных бумаг:</w:t>
            </w:r>
          </w:p>
          <w:p w:rsidR="00752FA2" w:rsidRPr="0000670D" w:rsidRDefault="00752FA2" w:rsidP="00B63C55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 за ведение счетов депо физических лиц</w:t>
            </w:r>
            <w:r w:rsidR="003B1D7B"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6</w:t>
            </w:r>
            <w:r w:rsidR="003B1D7B"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</w:p>
          <w:p w:rsidR="00752FA2" w:rsidRPr="0000670D" w:rsidRDefault="00752FA2" w:rsidP="00B63C55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 за ведение счетов депо юридических лиц</w:t>
            </w:r>
          </w:p>
          <w:p w:rsidR="00752FA2" w:rsidRPr="0000670D" w:rsidRDefault="00752FA2" w:rsidP="005C628D">
            <w:pPr>
              <w:jc w:val="both"/>
              <w:rPr>
                <w:rFonts w:ascii="Times New Roman" w:hAnsi="Times New Roman"/>
                <w:strike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345D5B" w:rsidRPr="0000670D">
              <w:rPr>
                <w:rFonts w:ascii="Times New Roman" w:hAnsi="Times New Roman"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szCs w:val="22"/>
              </w:rPr>
              <w:t>за ведение счетов депо юридических лиц - номинальных держателей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FF" w:rsidRPr="0000670D" w:rsidRDefault="000020FF" w:rsidP="0077103D">
            <w:pPr>
              <w:ind w:right="34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00670D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  <w:p w:rsidR="00752FA2" w:rsidRPr="0000670D" w:rsidRDefault="000020FF" w:rsidP="0077103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752FA2" w:rsidRPr="0000670D">
              <w:rPr>
                <w:rFonts w:ascii="Times New Roman" w:hAnsi="Times New Roman"/>
                <w:szCs w:val="22"/>
              </w:rPr>
              <w:t>1</w:t>
            </w:r>
            <w:r w:rsidR="00324D9E" w:rsidRPr="0000670D">
              <w:rPr>
                <w:rFonts w:ascii="Times New Roman" w:hAnsi="Times New Roman"/>
                <w:szCs w:val="22"/>
              </w:rPr>
              <w:t>8</w:t>
            </w:r>
            <w:r w:rsidR="00752FA2" w:rsidRPr="0000670D">
              <w:rPr>
                <w:rFonts w:ascii="Times New Roman" w:hAnsi="Times New Roman"/>
                <w:szCs w:val="22"/>
              </w:rPr>
              <w:t>0</w:t>
            </w:r>
          </w:p>
          <w:p w:rsidR="00752FA2" w:rsidRPr="0000670D" w:rsidRDefault="000020FF" w:rsidP="0077103D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324D9E" w:rsidRPr="0000670D">
              <w:rPr>
                <w:rFonts w:ascii="Times New Roman" w:hAnsi="Times New Roman"/>
                <w:szCs w:val="22"/>
              </w:rPr>
              <w:t>8</w:t>
            </w:r>
            <w:r w:rsidR="00752FA2" w:rsidRPr="0000670D">
              <w:rPr>
                <w:rFonts w:ascii="Times New Roman" w:hAnsi="Times New Roman"/>
                <w:szCs w:val="22"/>
              </w:rPr>
              <w:t>00</w:t>
            </w:r>
          </w:p>
          <w:p w:rsidR="00752FA2" w:rsidRPr="0000670D" w:rsidRDefault="000020FF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752FA2" w:rsidRPr="0000670D">
              <w:rPr>
                <w:rFonts w:ascii="Times New Roman" w:hAnsi="Times New Roman"/>
                <w:szCs w:val="22"/>
              </w:rPr>
              <w:t>3 000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3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4C5642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Зачисление ценных бумаг из р</w:t>
            </w:r>
            <w:r w:rsidR="004C5642" w:rsidRPr="0000670D">
              <w:rPr>
                <w:rFonts w:ascii="Times New Roman" w:hAnsi="Times New Roman"/>
                <w:szCs w:val="22"/>
              </w:rPr>
              <w:t>егистратора</w:t>
            </w:r>
            <w:r w:rsidRPr="0000670D">
              <w:rPr>
                <w:rFonts w:ascii="Times New Roman" w:hAnsi="Times New Roman"/>
                <w:szCs w:val="22"/>
              </w:rPr>
              <w:t>/стороннего депозитария: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7" w:rsidRPr="0000670D" w:rsidRDefault="00752FA2" w:rsidP="0098561E">
            <w:pPr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00670D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3</w:t>
            </w:r>
            <w:r w:rsidRPr="0000670D">
              <w:rPr>
                <w:sz w:val="22"/>
                <w:szCs w:val="22"/>
              </w:rPr>
              <w:t>.</w:t>
            </w:r>
            <w:r w:rsidR="003E6139" w:rsidRPr="0000670D">
              <w:rPr>
                <w:sz w:val="22"/>
                <w:szCs w:val="22"/>
              </w:rPr>
              <w:t>1</w:t>
            </w:r>
            <w:r w:rsidR="00A12604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D120CF" w:rsidP="0077103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</w:t>
            </w:r>
            <w:r w:rsidR="00CC3451" w:rsidRPr="0000670D">
              <w:rPr>
                <w:rFonts w:ascii="Times New Roman" w:hAnsi="Times New Roman"/>
                <w:szCs w:val="22"/>
              </w:rPr>
              <w:t xml:space="preserve">а неторговый счет депо </w:t>
            </w:r>
            <w:r w:rsidR="00CC3451" w:rsidRPr="0000670D">
              <w:rPr>
                <w:rFonts w:ascii="Times New Roman" w:hAnsi="Times New Roman"/>
                <w:spacing w:val="-4"/>
                <w:szCs w:val="22"/>
              </w:rPr>
              <w:t>АО ИФК «</w:t>
            </w:r>
            <w:proofErr w:type="spellStart"/>
            <w:r w:rsidR="00CC3451"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="00CC3451" w:rsidRPr="0000670D">
              <w:rPr>
                <w:rFonts w:ascii="Times New Roman" w:hAnsi="Times New Roman"/>
                <w:spacing w:val="-4"/>
                <w:szCs w:val="22"/>
              </w:rPr>
              <w:t xml:space="preserve">» в </w:t>
            </w:r>
            <w:r w:rsidR="0077103D" w:rsidRPr="0000670D">
              <w:rPr>
                <w:rFonts w:ascii="Times New Roman" w:hAnsi="Times New Roman"/>
                <w:szCs w:val="22"/>
              </w:rPr>
              <w:t>НКО </w:t>
            </w:r>
            <w:r w:rsidR="003E6139"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3E6139" w:rsidRPr="0000670D">
              <w:rPr>
                <w:rFonts w:ascii="Times New Roman" w:hAnsi="Times New Roman"/>
                <w:szCs w:val="22"/>
              </w:rPr>
              <w:t xml:space="preserve">НРД </w:t>
            </w:r>
            <w:r w:rsidR="00CC3451" w:rsidRPr="0000670D">
              <w:rPr>
                <w:rFonts w:ascii="Times New Roman" w:hAnsi="Times New Roman"/>
                <w:szCs w:val="22"/>
              </w:rPr>
              <w:t>за каждое Поручение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+1800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3</w:t>
            </w:r>
            <w:r w:rsidRPr="0000670D">
              <w:rPr>
                <w:sz w:val="22"/>
                <w:szCs w:val="22"/>
              </w:rPr>
              <w:t>.</w:t>
            </w:r>
            <w:r w:rsidR="00D120CF" w:rsidRPr="0000670D">
              <w:rPr>
                <w:sz w:val="22"/>
                <w:szCs w:val="22"/>
              </w:rPr>
              <w:t>2</w:t>
            </w:r>
            <w:r w:rsidR="00A12604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D120CF" w:rsidP="00797591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797591" w:rsidRPr="0000670D">
              <w:rPr>
                <w:rFonts w:ascii="Times New Roman" w:hAnsi="Times New Roman"/>
                <w:szCs w:val="22"/>
              </w:rPr>
              <w:t>в иных случаях</w:t>
            </w:r>
            <w:r w:rsidR="004C5642" w:rsidRPr="0000670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="00A12604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77103D">
            <w:pPr>
              <w:ind w:firstLine="34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Зачисление ценных бумаг </w:t>
            </w:r>
            <w:r w:rsidR="00462E88" w:rsidRPr="0000670D">
              <w:rPr>
                <w:rFonts w:ascii="Times New Roman" w:hAnsi="Times New Roman"/>
                <w:szCs w:val="22"/>
              </w:rPr>
              <w:t xml:space="preserve">на счет депо Депонента </w:t>
            </w:r>
            <w:r w:rsidR="00911694" w:rsidRPr="0000670D">
              <w:rPr>
                <w:rFonts w:ascii="Times New Roman" w:hAnsi="Times New Roman"/>
                <w:szCs w:val="22"/>
              </w:rPr>
              <w:t>по внебиржев</w:t>
            </w:r>
            <w:r w:rsidR="00462E88" w:rsidRPr="0000670D">
              <w:rPr>
                <w:rFonts w:ascii="Times New Roman" w:hAnsi="Times New Roman"/>
                <w:szCs w:val="22"/>
              </w:rPr>
              <w:t>ым</w:t>
            </w:r>
            <w:r w:rsidR="00911694" w:rsidRPr="0000670D">
              <w:rPr>
                <w:rFonts w:ascii="Times New Roman" w:hAnsi="Times New Roman"/>
                <w:szCs w:val="22"/>
              </w:rPr>
              <w:t xml:space="preserve"> сдел</w:t>
            </w:r>
            <w:r w:rsidR="00462E88" w:rsidRPr="0000670D">
              <w:rPr>
                <w:rFonts w:ascii="Times New Roman" w:hAnsi="Times New Roman"/>
                <w:szCs w:val="22"/>
              </w:rPr>
              <w:t>кам</w:t>
            </w:r>
            <w:r w:rsidR="00911694" w:rsidRPr="0000670D">
              <w:rPr>
                <w:rFonts w:ascii="Times New Roman" w:hAnsi="Times New Roman"/>
                <w:szCs w:val="22"/>
              </w:rPr>
              <w:t>/операци</w:t>
            </w:r>
            <w:r w:rsidR="00462E88" w:rsidRPr="0000670D">
              <w:rPr>
                <w:rFonts w:ascii="Times New Roman" w:hAnsi="Times New Roman"/>
                <w:szCs w:val="22"/>
              </w:rPr>
              <w:t>ям</w:t>
            </w:r>
            <w:r w:rsidR="00911694" w:rsidRPr="0000670D">
              <w:rPr>
                <w:rFonts w:ascii="Times New Roman" w:hAnsi="Times New Roman"/>
                <w:szCs w:val="22"/>
              </w:rPr>
              <w:t xml:space="preserve">, </w:t>
            </w:r>
            <w:r w:rsidR="0077103D" w:rsidRPr="0000670D">
              <w:rPr>
                <w:rFonts w:ascii="Times New Roman" w:hAnsi="Times New Roman"/>
                <w:szCs w:val="22"/>
              </w:rPr>
              <w:t>с участием АО </w:t>
            </w:r>
            <w:r w:rsidR="00462E88" w:rsidRPr="0000670D">
              <w:rPr>
                <w:rFonts w:ascii="Times New Roman" w:hAnsi="Times New Roman"/>
                <w:szCs w:val="22"/>
              </w:rPr>
              <w:t>ИФК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462E88" w:rsidRPr="0000670D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="00462E88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462E88" w:rsidRPr="0000670D">
              <w:rPr>
                <w:rFonts w:ascii="Times New Roman" w:hAnsi="Times New Roman"/>
                <w:szCs w:val="22"/>
              </w:rPr>
              <w:t>» в качестве брокера в интересах Депонента: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5C628D" w:rsidP="00C34148">
            <w:pPr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 тарифу Депозитария места хранения / стороннего депозитария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Pr="0000670D">
              <w:rPr>
                <w:sz w:val="22"/>
                <w:szCs w:val="22"/>
              </w:rPr>
              <w:t>.1</w:t>
            </w:r>
            <w:r w:rsidR="00A12604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00670D" w:rsidRDefault="00CC3451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-на </w:t>
            </w:r>
            <w:r w:rsidR="00D120CF" w:rsidRPr="0000670D">
              <w:rPr>
                <w:rFonts w:ascii="Times New Roman" w:hAnsi="Times New Roman"/>
                <w:szCs w:val="22"/>
              </w:rPr>
              <w:t>не</w:t>
            </w:r>
            <w:r w:rsidRPr="0000670D">
              <w:rPr>
                <w:rFonts w:ascii="Times New Roman" w:hAnsi="Times New Roman"/>
                <w:szCs w:val="22"/>
              </w:rPr>
              <w:t xml:space="preserve">торговый счет депо 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АО ИФК «</w:t>
            </w:r>
            <w:proofErr w:type="spellStart"/>
            <w:r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pacing w:val="-4"/>
                <w:szCs w:val="22"/>
              </w:rPr>
              <w:t>» в</w:t>
            </w:r>
            <w:r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D120CF" w:rsidRPr="0000670D">
              <w:rPr>
                <w:rFonts w:ascii="Times New Roman" w:hAnsi="Times New Roman"/>
                <w:szCs w:val="22"/>
              </w:rPr>
              <w:t>НКО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D120CF"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D120CF" w:rsidRPr="0000670D">
              <w:rPr>
                <w:rFonts w:ascii="Times New Roman" w:hAnsi="Times New Roman"/>
                <w:szCs w:val="22"/>
              </w:rPr>
              <w:t>НРД</w:t>
            </w:r>
            <w:r w:rsidR="00345D5B" w:rsidRPr="0000670D">
              <w:rPr>
                <w:rFonts w:ascii="Times New Roman" w:hAnsi="Times New Roman"/>
                <w:szCs w:val="22"/>
              </w:rPr>
              <w:t>/ПАО РОСБАНК</w:t>
            </w:r>
            <w:r w:rsidR="009B64F2"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B4634C" w:rsidRPr="0000670D">
              <w:rPr>
                <w:rFonts w:ascii="Times New Roman" w:hAnsi="Times New Roman"/>
                <w:szCs w:val="22"/>
              </w:rPr>
              <w:t>за одно</w:t>
            </w:r>
            <w:r w:rsidRPr="0000670D">
              <w:rPr>
                <w:rFonts w:ascii="Times New Roman" w:hAnsi="Times New Roman"/>
                <w:szCs w:val="22"/>
              </w:rPr>
              <w:t xml:space="preserve"> Поручение</w:t>
            </w:r>
            <w:r w:rsidR="00B4634C" w:rsidRPr="0000670D">
              <w:rPr>
                <w:rFonts w:ascii="Times New Roman" w:hAnsi="Times New Roman"/>
                <w:szCs w:val="22"/>
              </w:rPr>
              <w:t>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00670D" w:rsidRDefault="00CC3451" w:rsidP="002C358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2C358F" w:rsidRPr="0000670D">
              <w:rPr>
                <w:rFonts w:ascii="Times New Roman" w:hAnsi="Times New Roman"/>
                <w:szCs w:val="22"/>
              </w:rPr>
              <w:t>1800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F" w:rsidRPr="0000670D" w:rsidRDefault="00A72A3F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Pr="0000670D">
              <w:rPr>
                <w:sz w:val="22"/>
                <w:szCs w:val="22"/>
              </w:rPr>
              <w:t>.</w:t>
            </w:r>
            <w:r w:rsidR="00106DFC" w:rsidRPr="0000670D">
              <w:rPr>
                <w:sz w:val="22"/>
                <w:szCs w:val="22"/>
              </w:rPr>
              <w:t>2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F" w:rsidRPr="0000670D" w:rsidRDefault="00A72A3F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00670D">
              <w:rPr>
                <w:rFonts w:ascii="Times New Roman" w:hAnsi="Times New Roman"/>
                <w:szCs w:val="22"/>
              </w:rPr>
              <w:t>-на торговый счет де</w:t>
            </w:r>
            <w:r w:rsidR="00882B51" w:rsidRPr="0000670D">
              <w:rPr>
                <w:rFonts w:ascii="Times New Roman" w:hAnsi="Times New Roman"/>
                <w:szCs w:val="22"/>
              </w:rPr>
              <w:t>по АО ИФК «</w:t>
            </w:r>
            <w:proofErr w:type="spellStart"/>
            <w:r w:rsidR="00882B51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882B51" w:rsidRPr="0000670D">
              <w:rPr>
                <w:rFonts w:ascii="Times New Roman" w:hAnsi="Times New Roman"/>
                <w:szCs w:val="22"/>
              </w:rPr>
              <w:t>» в НКО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882B51"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882B51" w:rsidRPr="0000670D">
              <w:rPr>
                <w:rFonts w:ascii="Times New Roman" w:hAnsi="Times New Roman"/>
                <w:szCs w:val="22"/>
              </w:rPr>
              <w:t>НРД</w:t>
            </w:r>
            <w:r w:rsidRPr="0000670D">
              <w:rPr>
                <w:rFonts w:ascii="Times New Roman" w:hAnsi="Times New Roman"/>
                <w:szCs w:val="22"/>
              </w:rPr>
              <w:t xml:space="preserve">, за </w:t>
            </w:r>
            <w:r w:rsidR="00B4634C" w:rsidRPr="0000670D">
              <w:rPr>
                <w:rFonts w:ascii="Times New Roman" w:hAnsi="Times New Roman"/>
                <w:szCs w:val="22"/>
              </w:rPr>
              <w:t>одно П</w:t>
            </w:r>
            <w:r w:rsidRPr="0000670D">
              <w:rPr>
                <w:rFonts w:ascii="Times New Roman" w:hAnsi="Times New Roman"/>
                <w:szCs w:val="22"/>
              </w:rPr>
              <w:t>оручение</w:t>
            </w:r>
            <w:r w:rsidR="00B4634C" w:rsidRPr="0000670D">
              <w:rPr>
                <w:rFonts w:ascii="Times New Roman" w:hAnsi="Times New Roman"/>
                <w:szCs w:val="22"/>
              </w:rPr>
              <w:t>/операцию</w:t>
            </w:r>
            <w:r w:rsidR="00882B51" w:rsidRPr="0000670D">
              <w:rPr>
                <w:rFonts w:ascii="Times New Roman" w:hAnsi="Times New Roman"/>
                <w:szCs w:val="22"/>
              </w:rPr>
              <w:t xml:space="preserve"> (включая внебиржевые сделки РЕПО, </w:t>
            </w:r>
            <w:r w:rsidR="00882B51" w:rsidRPr="0000670D">
              <w:rPr>
                <w:rFonts w:ascii="Times New Roman" w:hAnsi="Times New Roman"/>
                <w:szCs w:val="22"/>
                <w:lang w:val="en-US"/>
              </w:rPr>
              <w:t>DVP)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F" w:rsidRPr="0000670D" w:rsidRDefault="00A72A3F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F" w:rsidRPr="0000670D" w:rsidRDefault="00A72A3F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Pr="0000670D">
              <w:rPr>
                <w:sz w:val="22"/>
                <w:szCs w:val="22"/>
              </w:rPr>
              <w:t>.</w:t>
            </w:r>
            <w:r w:rsidR="00106DFC" w:rsidRPr="0000670D">
              <w:rPr>
                <w:sz w:val="22"/>
                <w:szCs w:val="22"/>
              </w:rPr>
              <w:t>3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F" w:rsidRPr="0000670D" w:rsidRDefault="00A72A3F" w:rsidP="00D64C86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счет номинального держателя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у Регистратора</w:t>
            </w:r>
            <w:r w:rsidR="00B4634C"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462E88" w:rsidRPr="0000670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3F" w:rsidRPr="0000670D" w:rsidRDefault="00A72A3F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Pr="0000670D">
              <w:rPr>
                <w:sz w:val="22"/>
                <w:szCs w:val="22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торговый счет депо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НКО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 xml:space="preserve">НРД в текущий операционный день, за </w:t>
            </w:r>
            <w:r w:rsidR="00B4634C" w:rsidRPr="0000670D">
              <w:rPr>
                <w:rFonts w:ascii="Times New Roman" w:hAnsi="Times New Roman"/>
                <w:szCs w:val="22"/>
              </w:rPr>
              <w:t>одно</w:t>
            </w:r>
            <w:r w:rsidRPr="0000670D">
              <w:rPr>
                <w:rFonts w:ascii="Times New Roman" w:hAnsi="Times New Roman"/>
                <w:szCs w:val="22"/>
              </w:rPr>
              <w:t xml:space="preserve"> Поручение</w:t>
            </w:r>
            <w:r w:rsidR="00B4634C" w:rsidRPr="0000670D">
              <w:rPr>
                <w:rFonts w:ascii="Times New Roman" w:hAnsi="Times New Roman"/>
                <w:szCs w:val="22"/>
              </w:rPr>
              <w:t>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+400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4</w:t>
            </w:r>
            <w:r w:rsidRPr="0000670D">
              <w:rPr>
                <w:sz w:val="22"/>
                <w:szCs w:val="22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B4634C" w:rsidP="00D120CF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-в иных случаях, за одно</w:t>
            </w:r>
            <w:r w:rsidR="00106DFC" w:rsidRPr="0000670D">
              <w:rPr>
                <w:rFonts w:ascii="Times New Roman" w:hAnsi="Times New Roman"/>
                <w:szCs w:val="22"/>
              </w:rPr>
              <w:t xml:space="preserve"> Поручение</w:t>
            </w:r>
            <w:r w:rsidRPr="0000670D">
              <w:rPr>
                <w:rFonts w:ascii="Times New Roman" w:hAnsi="Times New Roman"/>
                <w:szCs w:val="22"/>
              </w:rPr>
              <w:t>/операцию</w:t>
            </w:r>
            <w:r w:rsidR="00106DFC" w:rsidRPr="0000670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C" w:rsidRPr="0000670D" w:rsidRDefault="00106DFC" w:rsidP="002C358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+200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5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B63D70" w:rsidP="0077103D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Списание ценных бумаг</w:t>
            </w:r>
            <w:r w:rsidR="00462E88" w:rsidRPr="0000670D">
              <w:rPr>
                <w:rFonts w:ascii="Times New Roman" w:hAnsi="Times New Roman"/>
                <w:szCs w:val="22"/>
              </w:rPr>
              <w:t xml:space="preserve"> со счета депо Депонента</w:t>
            </w:r>
            <w:r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332424" w:rsidRPr="0000670D">
              <w:rPr>
                <w:rFonts w:ascii="Times New Roman" w:hAnsi="Times New Roman"/>
                <w:szCs w:val="22"/>
              </w:rPr>
              <w:t xml:space="preserve">по </w:t>
            </w:r>
            <w:r w:rsidRPr="0000670D">
              <w:rPr>
                <w:rFonts w:ascii="Times New Roman" w:hAnsi="Times New Roman"/>
                <w:szCs w:val="22"/>
              </w:rPr>
              <w:t>внебиржев</w:t>
            </w:r>
            <w:r w:rsidR="00462E88" w:rsidRPr="0000670D">
              <w:rPr>
                <w:rFonts w:ascii="Times New Roman" w:hAnsi="Times New Roman"/>
                <w:szCs w:val="22"/>
              </w:rPr>
              <w:t>ым</w:t>
            </w:r>
            <w:r w:rsidRPr="0000670D">
              <w:rPr>
                <w:rFonts w:ascii="Times New Roman" w:hAnsi="Times New Roman"/>
                <w:szCs w:val="22"/>
              </w:rPr>
              <w:t xml:space="preserve"> сделк</w:t>
            </w:r>
            <w:r w:rsidR="00462E88" w:rsidRPr="0000670D">
              <w:rPr>
                <w:rFonts w:ascii="Times New Roman" w:hAnsi="Times New Roman"/>
                <w:szCs w:val="22"/>
              </w:rPr>
              <w:t>ам/операциям,</w:t>
            </w:r>
            <w:r w:rsidR="00332424" w:rsidRPr="0000670D">
              <w:rPr>
                <w:rFonts w:ascii="Times New Roman" w:hAnsi="Times New Roman"/>
                <w:szCs w:val="22"/>
              </w:rPr>
              <w:t xml:space="preserve"> с участием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332424" w:rsidRPr="0000670D">
              <w:rPr>
                <w:rFonts w:ascii="Times New Roman" w:hAnsi="Times New Roman"/>
                <w:szCs w:val="22"/>
              </w:rPr>
              <w:t>ИФК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332424" w:rsidRPr="0000670D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="00332424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332424" w:rsidRPr="0000670D">
              <w:rPr>
                <w:rFonts w:ascii="Times New Roman" w:hAnsi="Times New Roman"/>
                <w:szCs w:val="22"/>
              </w:rPr>
              <w:t>» в качестве брокера в интересах Депонента</w:t>
            </w:r>
            <w:r w:rsidR="00106DFC" w:rsidRPr="0000670D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25500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 тарифу Депозитария места хранения / Регистратора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5</w:t>
            </w:r>
            <w:r w:rsidRPr="0000670D">
              <w:rPr>
                <w:sz w:val="22"/>
                <w:szCs w:val="22"/>
              </w:rPr>
              <w:t>.1</w:t>
            </w:r>
            <w:r w:rsidR="00630CA6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4634C">
            <w:pPr>
              <w:tabs>
                <w:tab w:val="num" w:pos="459"/>
              </w:tabs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B4634C" w:rsidRPr="0000670D">
              <w:rPr>
                <w:rFonts w:ascii="Times New Roman" w:hAnsi="Times New Roman"/>
                <w:szCs w:val="22"/>
              </w:rPr>
              <w:t>со счета депо</w:t>
            </w:r>
            <w:r w:rsidRPr="0000670D">
              <w:rPr>
                <w:rFonts w:ascii="Times New Roman" w:hAnsi="Times New Roman"/>
                <w:szCs w:val="22"/>
              </w:rPr>
              <w:t>, открыт</w:t>
            </w:r>
            <w:r w:rsidR="00B4634C" w:rsidRPr="0000670D">
              <w:rPr>
                <w:rFonts w:ascii="Times New Roman" w:hAnsi="Times New Roman"/>
                <w:szCs w:val="22"/>
              </w:rPr>
              <w:t>ого</w:t>
            </w:r>
            <w:r w:rsidRPr="0000670D">
              <w:rPr>
                <w:rFonts w:ascii="Times New Roman" w:hAnsi="Times New Roman"/>
                <w:szCs w:val="22"/>
              </w:rPr>
              <w:t xml:space="preserve">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</w:t>
            </w:r>
            <w:r w:rsidR="00B4634C" w:rsidRPr="0000670D">
              <w:rPr>
                <w:rFonts w:ascii="Times New Roman" w:hAnsi="Times New Roman"/>
                <w:szCs w:val="22"/>
              </w:rPr>
              <w:t>и</w:t>
            </w:r>
            <w:r w:rsidRPr="0000670D">
              <w:rPr>
                <w:rFonts w:ascii="Times New Roman" w:hAnsi="Times New Roman"/>
                <w:szCs w:val="22"/>
              </w:rPr>
              <w:t xml:space="preserve"> мест</w:t>
            </w:r>
            <w:r w:rsidR="00B4634C" w:rsidRPr="0000670D">
              <w:rPr>
                <w:rFonts w:ascii="Times New Roman" w:hAnsi="Times New Roman"/>
                <w:szCs w:val="22"/>
              </w:rPr>
              <w:t>а</w:t>
            </w:r>
            <w:r w:rsidRPr="0000670D">
              <w:rPr>
                <w:rFonts w:ascii="Times New Roman" w:hAnsi="Times New Roman"/>
                <w:szCs w:val="22"/>
              </w:rPr>
              <w:t xml:space="preserve"> хранени</w:t>
            </w:r>
            <w:r w:rsidR="00B4634C" w:rsidRPr="0000670D">
              <w:rPr>
                <w:rFonts w:ascii="Times New Roman" w:hAnsi="Times New Roman"/>
                <w:szCs w:val="22"/>
              </w:rPr>
              <w:t>я</w:t>
            </w:r>
            <w:r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B4634C" w:rsidRPr="0000670D">
              <w:rPr>
                <w:rFonts w:ascii="Times New Roman" w:hAnsi="Times New Roman"/>
                <w:szCs w:val="22"/>
              </w:rPr>
              <w:t xml:space="preserve"> (включая внебиржевые сделки РЕПО, </w:t>
            </w:r>
            <w:r w:rsidR="00B4634C" w:rsidRPr="0000670D">
              <w:rPr>
                <w:rFonts w:ascii="Times New Roman" w:hAnsi="Times New Roman"/>
                <w:szCs w:val="22"/>
                <w:lang w:val="en-US"/>
              </w:rPr>
              <w:t>DVP</w:t>
            </w:r>
            <w:r w:rsidR="00B4634C" w:rsidRPr="0000670D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E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+0,1</w:t>
            </w:r>
            <w:r w:rsidR="0076790A" w:rsidRPr="0000670D">
              <w:rPr>
                <w:rFonts w:ascii="Times New Roman" w:hAnsi="Times New Roman"/>
                <w:szCs w:val="22"/>
              </w:rPr>
              <w:t>4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</w:t>
            </w:r>
          </w:p>
          <w:p w:rsidR="00106DFC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10 000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5</w:t>
            </w:r>
            <w:r w:rsidRPr="0000670D">
              <w:rPr>
                <w:sz w:val="22"/>
                <w:szCs w:val="22"/>
              </w:rPr>
              <w:t>.2</w:t>
            </w:r>
            <w:r w:rsidR="00630CA6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4634C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B4634C" w:rsidRPr="0000670D">
              <w:rPr>
                <w:rFonts w:ascii="Times New Roman" w:hAnsi="Times New Roman"/>
                <w:szCs w:val="22"/>
              </w:rPr>
              <w:t xml:space="preserve">со </w:t>
            </w:r>
            <w:r w:rsidRPr="0000670D">
              <w:rPr>
                <w:rFonts w:ascii="Times New Roman" w:hAnsi="Times New Roman"/>
                <w:szCs w:val="22"/>
              </w:rPr>
              <w:t>счета номинального держателя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у Регистратор</w:t>
            </w:r>
            <w:r w:rsidR="00B4634C" w:rsidRPr="0000670D">
              <w:rPr>
                <w:rFonts w:ascii="Times New Roman" w:hAnsi="Times New Roman"/>
                <w:szCs w:val="22"/>
              </w:rPr>
              <w:t>а</w:t>
            </w:r>
            <w:r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E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+0,1</w:t>
            </w:r>
            <w:r w:rsidR="0076790A" w:rsidRPr="0000670D">
              <w:rPr>
                <w:rFonts w:ascii="Times New Roman" w:hAnsi="Times New Roman"/>
                <w:szCs w:val="22"/>
              </w:rPr>
              <w:t>4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</w:t>
            </w:r>
          </w:p>
          <w:p w:rsidR="00106DFC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20 000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5</w:t>
            </w:r>
            <w:r w:rsidRPr="0000670D">
              <w:rPr>
                <w:sz w:val="22"/>
                <w:szCs w:val="22"/>
              </w:rPr>
              <w:t>.3</w:t>
            </w:r>
            <w:r w:rsidR="00630CA6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B4634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-с торгового счета депо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НКО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 xml:space="preserve">НРД </w:t>
            </w:r>
            <w:r w:rsidR="00106DFC" w:rsidRPr="0000670D">
              <w:rPr>
                <w:rFonts w:ascii="Times New Roman" w:hAnsi="Times New Roman"/>
                <w:szCs w:val="22"/>
              </w:rPr>
              <w:t>в текущий операционный день, за одно Поручение/операцию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E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+0,24%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400 и не более </w:t>
            </w:r>
          </w:p>
          <w:p w:rsidR="00106DFC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20 000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D" w:rsidRPr="0000670D" w:rsidRDefault="003D3ED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6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D" w:rsidRPr="0000670D" w:rsidRDefault="00F43AD2" w:rsidP="00956891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Снятие</w:t>
            </w:r>
            <w:r w:rsidR="00C07EB3" w:rsidRPr="0000670D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B12D9C" w:rsidRPr="0000670D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B12D9C" w:rsidRPr="0000670D">
              <w:rPr>
                <w:rFonts w:ascii="Times New Roman" w:hAnsi="Times New Roman"/>
                <w:szCs w:val="22"/>
              </w:rPr>
              <w:t>в</w:t>
            </w:r>
            <w:proofErr w:type="gramEnd"/>
            <w:r w:rsidR="00B12D9C" w:rsidRPr="0000670D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956891" w:rsidRPr="0000670D">
              <w:rPr>
                <w:rFonts w:ascii="Times New Roman" w:hAnsi="Times New Roman"/>
                <w:szCs w:val="22"/>
              </w:rPr>
              <w:t>регистратор</w:t>
            </w:r>
            <w:proofErr w:type="gramEnd"/>
            <w:r w:rsidR="00B12D9C" w:rsidRPr="0000670D">
              <w:rPr>
                <w:rFonts w:ascii="Times New Roman" w:hAnsi="Times New Roman"/>
                <w:szCs w:val="22"/>
              </w:rPr>
              <w:t>/сторонний депозитарий</w:t>
            </w:r>
            <w:r w:rsidR="008D5A96"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  <w:r w:rsidR="00C07EB3" w:rsidRPr="0000670D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D" w:rsidRPr="0000670D" w:rsidRDefault="00C07EB3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00670D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D" w:rsidRPr="0000670D" w:rsidRDefault="005316C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6</w:t>
            </w:r>
            <w:r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96" w:rsidRPr="0000670D" w:rsidRDefault="005316C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-при погашении </w:t>
            </w:r>
            <w:r w:rsidR="008D5A96" w:rsidRPr="0000670D">
              <w:rPr>
                <w:rFonts w:ascii="Times New Roman" w:hAnsi="Times New Roman"/>
                <w:szCs w:val="22"/>
              </w:rPr>
              <w:t xml:space="preserve">ценных бумаг (в </w:t>
            </w:r>
            <w:proofErr w:type="spellStart"/>
            <w:r w:rsidR="008D5A96" w:rsidRPr="0000670D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="008D5A96" w:rsidRPr="0000670D">
              <w:rPr>
                <w:rFonts w:ascii="Times New Roman" w:hAnsi="Times New Roman"/>
                <w:szCs w:val="22"/>
              </w:rPr>
              <w:t>. Паев)</w:t>
            </w:r>
          </w:p>
          <w:p w:rsidR="008D5A96" w:rsidRPr="0000670D" w:rsidRDefault="005316C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-при погашении/списании в рамках исполнения Инструкций по КД о выкупе ЦБ,</w:t>
            </w:r>
            <w:r w:rsidR="00B12D9C" w:rsidRPr="0000670D">
              <w:rPr>
                <w:rFonts w:ascii="Times New Roman" w:hAnsi="Times New Roman"/>
                <w:szCs w:val="22"/>
              </w:rPr>
              <w:t xml:space="preserve"> в том числе по с</w:t>
            </w:r>
            <w:r w:rsidRPr="0000670D">
              <w:rPr>
                <w:rFonts w:ascii="Times New Roman" w:hAnsi="Times New Roman"/>
                <w:szCs w:val="22"/>
              </w:rPr>
              <w:t>т.84.8 208-ФЗ</w:t>
            </w:r>
            <w:r w:rsidR="0022646F" w:rsidRPr="0000670D">
              <w:rPr>
                <w:rFonts w:ascii="Times New Roman" w:hAnsi="Times New Roman"/>
                <w:szCs w:val="22"/>
              </w:rPr>
              <w:t xml:space="preserve"> о</w:t>
            </w:r>
            <w:r w:rsidRPr="0000670D">
              <w:rPr>
                <w:rFonts w:ascii="Times New Roman" w:hAnsi="Times New Roman"/>
                <w:szCs w:val="22"/>
              </w:rPr>
              <w:t>б АО</w:t>
            </w:r>
          </w:p>
          <w:p w:rsidR="00332424" w:rsidRPr="0000670D" w:rsidRDefault="007B5374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831D96" w:rsidRPr="0000670D">
              <w:rPr>
                <w:rFonts w:ascii="Times New Roman" w:hAnsi="Times New Roman"/>
                <w:szCs w:val="22"/>
              </w:rPr>
              <w:t xml:space="preserve">при </w:t>
            </w:r>
            <w:r w:rsidR="00F1651F" w:rsidRPr="0000670D">
              <w:rPr>
                <w:rFonts w:ascii="Times New Roman" w:hAnsi="Times New Roman"/>
                <w:szCs w:val="22"/>
              </w:rPr>
              <w:t>выводе</w:t>
            </w:r>
            <w:r w:rsidR="00332424" w:rsidRPr="0000670D">
              <w:rPr>
                <w:rFonts w:ascii="Times New Roman" w:hAnsi="Times New Roman"/>
                <w:szCs w:val="22"/>
              </w:rPr>
              <w:t xml:space="preserve"> ценных бумаг </w:t>
            </w:r>
            <w:r w:rsidR="00EB55DC" w:rsidRPr="0000670D">
              <w:rPr>
                <w:rFonts w:ascii="Times New Roman" w:hAnsi="Times New Roman"/>
                <w:szCs w:val="22"/>
              </w:rPr>
              <w:t>Депонента в качестве имущества, передаваемого в доверительное управление по договору доверительного управления, заключенного с АО ИФК «</w:t>
            </w:r>
            <w:proofErr w:type="spellStart"/>
            <w:r w:rsidR="00EB55DC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EB55DC" w:rsidRPr="0000670D">
              <w:rPr>
                <w:rFonts w:ascii="Times New Roman" w:hAnsi="Times New Roman"/>
                <w:szCs w:val="22"/>
              </w:rPr>
              <w:t>»</w:t>
            </w:r>
          </w:p>
          <w:p w:rsidR="0098561E" w:rsidRPr="0000670D" w:rsidRDefault="0098561E" w:rsidP="0077103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1E" w:rsidRPr="0000670D" w:rsidRDefault="005316CD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+0,1</w:t>
            </w:r>
            <w:r w:rsidR="00B56D40" w:rsidRPr="0000670D">
              <w:rPr>
                <w:rFonts w:ascii="Times New Roman" w:hAnsi="Times New Roman"/>
                <w:szCs w:val="22"/>
              </w:rPr>
              <w:t>4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 но не менее 200 и не более</w:t>
            </w:r>
          </w:p>
          <w:p w:rsidR="005316CD" w:rsidRPr="0000670D" w:rsidRDefault="005316CD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10 000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70" w:rsidRPr="0000670D" w:rsidRDefault="003D3EDD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6</w:t>
            </w:r>
            <w:r w:rsidRPr="0000670D">
              <w:rPr>
                <w:sz w:val="22"/>
                <w:szCs w:val="22"/>
              </w:rPr>
              <w:t>.</w:t>
            </w:r>
            <w:r w:rsidR="0022646F" w:rsidRPr="0000670D">
              <w:rPr>
                <w:sz w:val="22"/>
                <w:szCs w:val="22"/>
              </w:rPr>
              <w:t>2</w:t>
            </w:r>
            <w:r w:rsidR="00C07EB3" w:rsidRPr="000067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70" w:rsidRPr="0000670D" w:rsidRDefault="00C07EB3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proofErr w:type="gramStart"/>
            <w:r w:rsidR="003D3EDD" w:rsidRPr="0000670D">
              <w:rPr>
                <w:rFonts w:ascii="Times New Roman" w:hAnsi="Times New Roman"/>
                <w:szCs w:val="22"/>
              </w:rPr>
              <w:t>в</w:t>
            </w:r>
            <w:proofErr w:type="gramEnd"/>
            <w:r w:rsidR="003D3EDD" w:rsidRPr="0000670D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3D3EDD" w:rsidRPr="0000670D">
              <w:rPr>
                <w:rFonts w:ascii="Times New Roman" w:hAnsi="Times New Roman"/>
                <w:szCs w:val="22"/>
              </w:rPr>
              <w:t>Р</w:t>
            </w:r>
            <w:r w:rsidR="00956891" w:rsidRPr="0000670D">
              <w:rPr>
                <w:rFonts w:ascii="Times New Roman" w:hAnsi="Times New Roman"/>
                <w:szCs w:val="22"/>
              </w:rPr>
              <w:t>егистратор</w:t>
            </w:r>
            <w:proofErr w:type="gramEnd"/>
            <w:r w:rsidR="003D3EDD" w:rsidRPr="0000670D">
              <w:rPr>
                <w:rFonts w:ascii="Times New Roman" w:hAnsi="Times New Roman"/>
                <w:szCs w:val="22"/>
              </w:rPr>
              <w:t>/сторонний депозитарий, без участия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="003D3EDD" w:rsidRPr="0000670D">
              <w:rPr>
                <w:rFonts w:ascii="Times New Roman" w:hAnsi="Times New Roman"/>
                <w:szCs w:val="22"/>
              </w:rPr>
              <w:t>ИФК «</w:t>
            </w:r>
            <w:proofErr w:type="spellStart"/>
            <w:r w:rsidR="003D3EDD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3D3EDD" w:rsidRPr="0000670D">
              <w:rPr>
                <w:rFonts w:ascii="Times New Roman" w:hAnsi="Times New Roman"/>
                <w:szCs w:val="22"/>
              </w:rPr>
              <w:t xml:space="preserve">» в качестве брокера, за одно </w:t>
            </w:r>
            <w:r w:rsidR="005A04C1" w:rsidRPr="0000670D">
              <w:rPr>
                <w:rFonts w:ascii="Times New Roman" w:hAnsi="Times New Roman"/>
                <w:szCs w:val="22"/>
              </w:rPr>
              <w:t>П</w:t>
            </w:r>
            <w:r w:rsidR="003D3EDD" w:rsidRPr="0000670D">
              <w:rPr>
                <w:rFonts w:ascii="Times New Roman" w:hAnsi="Times New Roman"/>
                <w:szCs w:val="22"/>
              </w:rPr>
              <w:t>оручение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70" w:rsidRPr="0000670D" w:rsidRDefault="003D3EDD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+1</w:t>
            </w:r>
            <w:r w:rsidR="00324D9E" w:rsidRPr="0000670D">
              <w:rPr>
                <w:rFonts w:ascii="Times New Roman" w:hAnsi="Times New Roman"/>
                <w:szCs w:val="22"/>
              </w:rPr>
              <w:t>,1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1 000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6</w:t>
            </w:r>
            <w:r w:rsidRPr="0000670D">
              <w:rPr>
                <w:sz w:val="22"/>
                <w:szCs w:val="22"/>
              </w:rPr>
              <w:t>.</w:t>
            </w:r>
            <w:r w:rsidR="0022646F" w:rsidRPr="0000670D">
              <w:rPr>
                <w:sz w:val="22"/>
                <w:szCs w:val="22"/>
              </w:rPr>
              <w:t>3</w:t>
            </w:r>
            <w:r w:rsidR="00C07EB3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-в случае конвертации/объединения/аннулирования индивидуального номера (кода) дополнительного выпуска ЦБ, иных корпоративных действий Эмитент</w:t>
            </w:r>
            <w:r w:rsidR="00593F24" w:rsidRPr="0000670D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6</w:t>
            </w:r>
            <w:r w:rsidRPr="0000670D">
              <w:rPr>
                <w:sz w:val="22"/>
                <w:szCs w:val="22"/>
              </w:rPr>
              <w:t>.</w:t>
            </w:r>
            <w:r w:rsidR="0022646F" w:rsidRPr="0000670D">
              <w:rPr>
                <w:sz w:val="22"/>
                <w:szCs w:val="22"/>
              </w:rPr>
              <w:t>4</w:t>
            </w:r>
            <w:r w:rsidR="00C07EB3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-в административном порядке обесценившихся бумаг (фактическое прекращение деятельности Эмитента в связи с исключением юридического лица из ЕГРЮЛ по решению регистрирующего органа)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6DFC" w:rsidRPr="0000670D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0670D">
              <w:rPr>
                <w:rFonts w:ascii="Times New Roman" w:hAnsi="Times New Roman"/>
                <w:szCs w:val="22"/>
                <w:lang w:val="en-US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7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Изменение режима (места) хранения ценных бумаг на счетах депо одного Депонента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: 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16DE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</w:t>
            </w:r>
            <w:proofErr w:type="gramStart"/>
            <w:r w:rsidRPr="0000670D">
              <w:rPr>
                <w:rFonts w:ascii="Times New Roman" w:hAnsi="Times New Roman"/>
                <w:szCs w:val="22"/>
              </w:rPr>
              <w:t>Депозитария места хранения / стороннего депозитария/Регистратора</w:t>
            </w:r>
            <w:proofErr w:type="gramEnd"/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7</w:t>
            </w:r>
            <w:r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956891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-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>списание ценных бумаг со счета номинального держателя АО ИФК «</w:t>
            </w:r>
            <w:proofErr w:type="spellStart"/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>» в Р</w:t>
            </w:r>
            <w:r w:rsidR="00956891" w:rsidRPr="0000670D">
              <w:rPr>
                <w:rFonts w:ascii="Times New Roman" w:hAnsi="Times New Roman"/>
                <w:spacing w:val="-4"/>
                <w:szCs w:val="22"/>
              </w:rPr>
              <w:t>егистраторе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="00956891" w:rsidRPr="0000670D">
              <w:rPr>
                <w:rFonts w:ascii="Times New Roman" w:hAnsi="Times New Roman"/>
                <w:spacing w:val="-4"/>
                <w:szCs w:val="22"/>
              </w:rPr>
              <w:t>и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зачисление ценных бумаг на торговый счет АО ИФК «</w:t>
            </w:r>
            <w:proofErr w:type="spellStart"/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» в </w:t>
            </w:r>
            <w:r w:rsidR="00106DFC" w:rsidRPr="0000670D">
              <w:rPr>
                <w:rFonts w:ascii="Times New Roman" w:hAnsi="Times New Roman"/>
                <w:szCs w:val="22"/>
              </w:rPr>
              <w:t>НКО АО НРД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63C55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7</w:t>
            </w:r>
            <w:r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 списание ценных бумаг с одного раздела</w:t>
            </w:r>
            <w:r w:rsidR="006D1D64" w:rsidRPr="0000670D">
              <w:rPr>
                <w:rFonts w:ascii="Times New Roman" w:hAnsi="Times New Roman"/>
                <w:spacing w:val="-4"/>
                <w:szCs w:val="22"/>
              </w:rPr>
              <w:t xml:space="preserve"> счета депо</w:t>
            </w:r>
            <w:r w:rsidRPr="0000670D">
              <w:rPr>
                <w:rFonts w:ascii="Times New Roman" w:hAnsi="Times New Roman"/>
                <w:szCs w:val="22"/>
              </w:rPr>
              <w:t xml:space="preserve">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Депозитарии места хранения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="00956891" w:rsidRPr="0000670D">
              <w:rPr>
                <w:rFonts w:ascii="Times New Roman" w:hAnsi="Times New Roman"/>
                <w:spacing w:val="-4"/>
                <w:szCs w:val="22"/>
              </w:rPr>
              <w:t>и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 зачисление ценных бумаг </w:t>
            </w:r>
            <w:r w:rsidRPr="0000670D">
              <w:rPr>
                <w:rFonts w:ascii="Times New Roman" w:hAnsi="Times New Roman"/>
                <w:szCs w:val="22"/>
              </w:rPr>
              <w:t>на другой раздел</w:t>
            </w:r>
            <w:r w:rsidR="006D1D64" w:rsidRPr="0000670D">
              <w:rPr>
                <w:rFonts w:ascii="Times New Roman" w:hAnsi="Times New Roman"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szCs w:val="22"/>
              </w:rPr>
              <w:t>счет</w:t>
            </w:r>
            <w:r w:rsidR="006D1D64" w:rsidRPr="0000670D">
              <w:rPr>
                <w:rFonts w:ascii="Times New Roman" w:hAnsi="Times New Roman"/>
                <w:szCs w:val="22"/>
              </w:rPr>
              <w:t>а</w:t>
            </w:r>
            <w:r w:rsidRPr="0000670D">
              <w:rPr>
                <w:rFonts w:ascii="Times New Roman" w:hAnsi="Times New Roman"/>
                <w:szCs w:val="22"/>
              </w:rPr>
              <w:t xml:space="preserve"> депо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Депозитарии места хранения в результате корпоративных действий эмитента в административном порядке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63C55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7</w:t>
            </w:r>
            <w:r w:rsidRPr="0000670D">
              <w:rPr>
                <w:sz w:val="22"/>
                <w:szCs w:val="22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F43AD2" w:rsidP="00956891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-иные случаи списания</w:t>
            </w:r>
            <w:r w:rsidR="00106DFC" w:rsidRPr="0000670D">
              <w:rPr>
                <w:rFonts w:ascii="Times New Roman" w:hAnsi="Times New Roman"/>
                <w:szCs w:val="22"/>
              </w:rPr>
              <w:t xml:space="preserve"> с о</w:t>
            </w:r>
            <w:r w:rsidRPr="0000670D">
              <w:rPr>
                <w:rFonts w:ascii="Times New Roman" w:hAnsi="Times New Roman"/>
                <w:szCs w:val="22"/>
              </w:rPr>
              <w:t>дного раздела/счета и зачисления</w:t>
            </w:r>
            <w:r w:rsidR="00106DFC" w:rsidRPr="0000670D">
              <w:rPr>
                <w:rFonts w:ascii="Times New Roman" w:hAnsi="Times New Roman"/>
                <w:szCs w:val="22"/>
              </w:rPr>
              <w:t xml:space="preserve"> на </w:t>
            </w:r>
            <w:proofErr w:type="gramStart"/>
            <w:r w:rsidR="00106DFC" w:rsidRPr="0000670D">
              <w:rPr>
                <w:rFonts w:ascii="Times New Roman" w:hAnsi="Times New Roman"/>
                <w:szCs w:val="22"/>
              </w:rPr>
              <w:t>другой раздел/счет</w:t>
            </w:r>
            <w:proofErr w:type="gramEnd"/>
            <w:r w:rsidR="00593F24"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56D4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1B3949" w:rsidRPr="0000670D">
              <w:rPr>
                <w:rFonts w:ascii="Times New Roman" w:hAnsi="Times New Roman"/>
                <w:szCs w:val="22"/>
              </w:rPr>
              <w:t>500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7</w:t>
            </w:r>
            <w:r w:rsidRPr="0000670D">
              <w:rPr>
                <w:sz w:val="22"/>
                <w:szCs w:val="22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C07EB3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-блокировка/снятие блокировки</w:t>
            </w:r>
            <w:r w:rsidR="00ED69FD" w:rsidRPr="0000670D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593F24" w:rsidRPr="0000670D">
              <w:rPr>
                <w:rFonts w:ascii="Times New Roman" w:hAnsi="Times New Roman"/>
                <w:szCs w:val="22"/>
              </w:rPr>
              <w:t>, за одно Поручение/операцию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56D4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1B3949" w:rsidRPr="0000670D">
              <w:rPr>
                <w:rFonts w:ascii="Times New Roman" w:hAnsi="Times New Roman"/>
                <w:szCs w:val="22"/>
              </w:rPr>
              <w:t>500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8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  <w:shd w:val="clear" w:color="auto" w:fill="FFFFFF"/>
              </w:rPr>
              <w:t>Регистрация фактов обременения/снятие обременения ценных бумаг (залог/снятие залога)</w:t>
            </w:r>
            <w:r w:rsidR="00593F24" w:rsidRPr="0000670D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r w:rsidR="00593F24" w:rsidRPr="0000670D">
              <w:rPr>
                <w:rFonts w:ascii="Times New Roman" w:hAnsi="Times New Roman"/>
                <w:szCs w:val="22"/>
              </w:rPr>
              <w:t>за одно Поручение/операцию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A35B1F">
            <w:pPr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По тарифу Депозитария места хранения/ Регистратора </w:t>
            </w:r>
          </w:p>
          <w:p w:rsidR="00106DFC" w:rsidRPr="0000670D" w:rsidRDefault="00106DFC" w:rsidP="00A35B1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+5 000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9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3731F2" w:rsidP="00174FD4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</w:t>
            </w:r>
            <w:r w:rsidR="00106DFC" w:rsidRPr="0000670D">
              <w:rPr>
                <w:rFonts w:ascii="Times New Roman" w:hAnsi="Times New Roman"/>
                <w:szCs w:val="22"/>
              </w:rPr>
              <w:t>еревод</w:t>
            </w:r>
            <w:r w:rsidR="00ED69FD" w:rsidRPr="0000670D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106DFC" w:rsidRPr="0000670D">
              <w:rPr>
                <w:rFonts w:ascii="Times New Roman" w:hAnsi="Times New Roman"/>
                <w:szCs w:val="22"/>
              </w:rPr>
              <w:t xml:space="preserve"> между счетами депо одного Депонента, открытых в Депозитарии АО ИФК «</w:t>
            </w:r>
            <w:proofErr w:type="spellStart"/>
            <w:r w:rsidR="00106DFC"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="00106DFC" w:rsidRPr="0000670D">
              <w:rPr>
                <w:rFonts w:ascii="Times New Roman" w:hAnsi="Times New Roman"/>
                <w:szCs w:val="22"/>
              </w:rPr>
              <w:t>» (без изменения режима (места) хранения)</w:t>
            </w:r>
            <w:r w:rsidR="00A55B76" w:rsidRPr="0000670D">
              <w:rPr>
                <w:rFonts w:ascii="Times New Roman" w:hAnsi="Times New Roman"/>
                <w:szCs w:val="22"/>
              </w:rPr>
              <w:t>, за одно Поручение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74FD4" w:rsidP="008D1CDB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1" w:rsidRPr="0000670D" w:rsidRDefault="00956891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10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1" w:rsidRPr="0000670D" w:rsidRDefault="00ED69FD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</w:t>
            </w:r>
            <w:r w:rsidR="00FC609C" w:rsidRPr="0000670D">
              <w:rPr>
                <w:rFonts w:ascii="Times New Roman" w:hAnsi="Times New Roman"/>
                <w:szCs w:val="22"/>
              </w:rPr>
              <w:t>еревод</w:t>
            </w:r>
            <w:r w:rsidR="00897D78" w:rsidRPr="0000670D">
              <w:rPr>
                <w:rFonts w:ascii="Times New Roman" w:hAnsi="Times New Roman"/>
                <w:szCs w:val="22"/>
              </w:rPr>
              <w:t xml:space="preserve"> ценных бумаг</w:t>
            </w:r>
            <w:r w:rsidR="00FF658C"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747917" w:rsidRPr="0000670D">
              <w:rPr>
                <w:rFonts w:ascii="Times New Roman" w:hAnsi="Times New Roman"/>
                <w:szCs w:val="22"/>
              </w:rPr>
              <w:t>между счетами депо разных Депонентов</w:t>
            </w:r>
            <w:r w:rsidR="00897D78" w:rsidRPr="0000670D">
              <w:rPr>
                <w:rFonts w:ascii="Times New Roman" w:hAnsi="Times New Roman"/>
                <w:szCs w:val="22"/>
              </w:rPr>
              <w:t>, за каждое Поручение:</w:t>
            </w:r>
            <w:r w:rsidR="00747917" w:rsidRPr="0000670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1" w:rsidRPr="0000670D" w:rsidRDefault="00897D78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 тарифу Депозитария места хранения/ Регистратора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00670D" w:rsidRDefault="00897D78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10</w:t>
            </w:r>
            <w:r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2" w:rsidRPr="0000670D" w:rsidRDefault="003731F2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-зачисление </w:t>
            </w:r>
            <w:r w:rsidR="00DF5680" w:rsidRPr="0000670D">
              <w:rPr>
                <w:rFonts w:ascii="Times New Roman" w:hAnsi="Times New Roman"/>
                <w:szCs w:val="22"/>
              </w:rPr>
              <w:t xml:space="preserve">ценных бумаг </w:t>
            </w:r>
            <w:r w:rsidRPr="0000670D">
              <w:rPr>
                <w:rFonts w:ascii="Times New Roman" w:hAnsi="Times New Roman"/>
                <w:szCs w:val="22"/>
              </w:rPr>
              <w:t>на неторговый счет депо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НКО АО НРД</w:t>
            </w:r>
          </w:p>
          <w:p w:rsidR="00234157" w:rsidRPr="0000670D" w:rsidRDefault="00897D78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-зачисление</w:t>
            </w:r>
            <w:r w:rsidR="00DF5680" w:rsidRPr="0000670D">
              <w:rPr>
                <w:rFonts w:ascii="Times New Roman" w:hAnsi="Times New Roman"/>
                <w:szCs w:val="22"/>
              </w:rPr>
              <w:t xml:space="preserve"> ценных бумаг на</w:t>
            </w:r>
            <w:r w:rsidRPr="0000670D">
              <w:rPr>
                <w:rFonts w:ascii="Times New Roman" w:hAnsi="Times New Roman"/>
                <w:szCs w:val="22"/>
              </w:rPr>
              <w:t xml:space="preserve"> </w:t>
            </w:r>
            <w:r w:rsidR="003731F2" w:rsidRPr="0000670D">
              <w:rPr>
                <w:rFonts w:ascii="Times New Roman" w:hAnsi="Times New Roman"/>
                <w:szCs w:val="22"/>
              </w:rPr>
              <w:t>иные счета</w:t>
            </w:r>
            <w:r w:rsidRPr="0000670D">
              <w:rPr>
                <w:rFonts w:ascii="Times New Roman" w:hAnsi="Times New Roman"/>
                <w:szCs w:val="22"/>
              </w:rPr>
              <w:t xml:space="preserve"> депо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ИФК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Депозитарии места хранения</w:t>
            </w:r>
            <w:r w:rsidR="003731F2" w:rsidRPr="0000670D">
              <w:rPr>
                <w:rFonts w:ascii="Times New Roman" w:hAnsi="Times New Roman"/>
                <w:szCs w:val="22"/>
              </w:rPr>
              <w:t>/</w:t>
            </w:r>
            <w:r w:rsidR="00DF5680" w:rsidRPr="0000670D">
              <w:rPr>
                <w:rFonts w:ascii="Times New Roman" w:hAnsi="Times New Roman"/>
                <w:szCs w:val="22"/>
              </w:rPr>
              <w:t>Регистраторе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2" w:rsidRPr="0000670D" w:rsidRDefault="003731F2" w:rsidP="003731F2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+1800</w:t>
            </w:r>
          </w:p>
          <w:p w:rsidR="00234157" w:rsidRPr="0000670D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234157" w:rsidRPr="0000670D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+200</w:t>
            </w:r>
          </w:p>
          <w:p w:rsidR="00234157" w:rsidRPr="0000670D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00670D" w:rsidRDefault="00897D78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</w:t>
            </w:r>
            <w:r w:rsidR="00590103" w:rsidRPr="0000670D">
              <w:rPr>
                <w:sz w:val="22"/>
                <w:szCs w:val="22"/>
              </w:rPr>
              <w:t>10</w:t>
            </w:r>
            <w:r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57" w:rsidRPr="0000670D" w:rsidRDefault="00234157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-списание с</w:t>
            </w:r>
            <w:r w:rsidR="00FC0BBC" w:rsidRPr="0000670D">
              <w:rPr>
                <w:rFonts w:ascii="Times New Roman" w:hAnsi="Times New Roman"/>
                <w:szCs w:val="22"/>
              </w:rPr>
              <w:t>о</w:t>
            </w:r>
            <w:r w:rsidRPr="0000670D">
              <w:rPr>
                <w:rFonts w:ascii="Times New Roman" w:hAnsi="Times New Roman"/>
                <w:szCs w:val="22"/>
              </w:rPr>
              <w:t xml:space="preserve"> счета депо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Депозитарии места хранения</w:t>
            </w:r>
          </w:p>
          <w:p w:rsidR="0071121F" w:rsidRPr="0000670D" w:rsidRDefault="0071121F" w:rsidP="0077103D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71121F" w:rsidRPr="0000670D" w:rsidRDefault="0071121F" w:rsidP="0077103D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897D78" w:rsidRPr="0000670D" w:rsidRDefault="00234157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</w:t>
            </w:r>
            <w:r w:rsidR="00FC0BBC" w:rsidRPr="0000670D">
              <w:rPr>
                <w:rFonts w:ascii="Times New Roman" w:hAnsi="Times New Roman"/>
                <w:szCs w:val="22"/>
              </w:rPr>
              <w:t xml:space="preserve">списание со </w:t>
            </w:r>
            <w:r w:rsidRPr="0000670D">
              <w:rPr>
                <w:rFonts w:ascii="Times New Roman" w:hAnsi="Times New Roman"/>
                <w:szCs w:val="22"/>
              </w:rPr>
              <w:t>счет</w:t>
            </w:r>
            <w:r w:rsidR="00FC0BBC" w:rsidRPr="0000670D">
              <w:rPr>
                <w:rFonts w:ascii="Times New Roman" w:hAnsi="Times New Roman"/>
                <w:szCs w:val="22"/>
              </w:rPr>
              <w:t>а</w:t>
            </w:r>
            <w:r w:rsidRPr="0000670D">
              <w:rPr>
                <w:rFonts w:ascii="Times New Roman" w:hAnsi="Times New Roman"/>
                <w:szCs w:val="22"/>
              </w:rPr>
              <w:t xml:space="preserve"> номинального держателя АО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ИФК</w:t>
            </w:r>
            <w:r w:rsidR="0077103D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у Регистратора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8" w:rsidRPr="0000670D" w:rsidRDefault="00234157" w:rsidP="00234157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+0,1</w:t>
            </w:r>
            <w:r w:rsidR="0076790A" w:rsidRPr="0000670D">
              <w:rPr>
                <w:rFonts w:ascii="Times New Roman" w:hAnsi="Times New Roman"/>
                <w:szCs w:val="22"/>
              </w:rPr>
              <w:t>4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10</w:t>
            </w:r>
            <w:r w:rsidR="00FC0BBC" w:rsidRPr="0000670D">
              <w:rPr>
                <w:rFonts w:ascii="Times New Roman" w:hAnsi="Times New Roman"/>
                <w:szCs w:val="22"/>
              </w:rPr>
              <w:t> </w:t>
            </w:r>
            <w:r w:rsidRPr="0000670D">
              <w:rPr>
                <w:rFonts w:ascii="Times New Roman" w:hAnsi="Times New Roman"/>
                <w:szCs w:val="22"/>
              </w:rPr>
              <w:t>000</w:t>
            </w:r>
          </w:p>
          <w:p w:rsidR="0098561E" w:rsidRPr="0000670D" w:rsidRDefault="00FC0BB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+0,1</w:t>
            </w:r>
            <w:r w:rsidR="0076790A" w:rsidRPr="0000670D">
              <w:rPr>
                <w:rFonts w:ascii="Times New Roman" w:hAnsi="Times New Roman"/>
                <w:szCs w:val="22"/>
              </w:rPr>
              <w:t>4</w:t>
            </w:r>
            <w:r w:rsidRPr="0000670D">
              <w:rPr>
                <w:rFonts w:ascii="Times New Roman" w:hAnsi="Times New Roman"/>
                <w:szCs w:val="22"/>
              </w:rPr>
              <w:t xml:space="preserve">% от оценочной 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7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  <w:r w:rsidRPr="0000670D">
              <w:rPr>
                <w:rFonts w:ascii="Times New Roman" w:hAnsi="Times New Roman"/>
                <w:szCs w:val="22"/>
              </w:rPr>
              <w:t xml:space="preserve"> стоимости пакета ЦБ, но не менее 200 и не более </w:t>
            </w:r>
          </w:p>
          <w:p w:rsidR="00FC0BBC" w:rsidRPr="0000670D" w:rsidRDefault="00FC0BB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20 000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4.1</w:t>
            </w:r>
            <w:r w:rsidR="00590103" w:rsidRPr="0000670D">
              <w:rPr>
                <w:sz w:val="22"/>
                <w:szCs w:val="22"/>
              </w:rPr>
              <w:t>1</w:t>
            </w:r>
            <w:r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Зачисление ценных бумаг при наследовании, за каждое Поручение: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 тарифу Депозитария места хранения/ Регистратора</w:t>
            </w:r>
          </w:p>
          <w:p w:rsidR="0098561E" w:rsidRPr="0000670D" w:rsidRDefault="0098561E" w:rsidP="00985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00670D">
              <w:rPr>
                <w:sz w:val="22"/>
                <w:szCs w:val="22"/>
                <w:lang w:val="en-US"/>
              </w:rPr>
              <w:t>4.1</w:t>
            </w:r>
            <w:r w:rsidR="00590103" w:rsidRPr="0000670D">
              <w:rPr>
                <w:sz w:val="22"/>
                <w:szCs w:val="22"/>
              </w:rPr>
              <w:t>1</w:t>
            </w:r>
            <w:r w:rsidRPr="0000670D">
              <w:rPr>
                <w:sz w:val="22"/>
                <w:szCs w:val="22"/>
                <w:lang w:val="en-US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неторговый счет депо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НКО АО НРД</w:t>
            </w:r>
          </w:p>
          <w:p w:rsidR="00B25500" w:rsidRPr="0000670D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+1800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590103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4.1</w:t>
            </w:r>
            <w:r w:rsidR="00590103" w:rsidRPr="0000670D">
              <w:rPr>
                <w:sz w:val="22"/>
                <w:szCs w:val="22"/>
              </w:rPr>
              <w:t>1</w:t>
            </w:r>
            <w:r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иной счет депо АО ИФК «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» в Депозитарии места хранения</w:t>
            </w:r>
          </w:p>
          <w:p w:rsidR="00B25500" w:rsidRPr="0000670D" w:rsidRDefault="00B25500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счет номинального держателя у Регистратора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00" w:rsidRPr="0000670D" w:rsidRDefault="00CC2D4F" w:rsidP="008D1CDB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</w:t>
            </w:r>
            <w:r w:rsidR="00B25500" w:rsidRPr="0000670D">
              <w:rPr>
                <w:rFonts w:ascii="Times New Roman" w:hAnsi="Times New Roman"/>
                <w:szCs w:val="22"/>
              </w:rPr>
              <w:t>200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00670D" w:rsidRDefault="00C07EB3" w:rsidP="002C358F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5</w:t>
            </w:r>
            <w:r w:rsidR="00106DFC" w:rsidRPr="000067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6DFC" w:rsidRPr="0000670D" w:rsidRDefault="00106DFC" w:rsidP="002C358F">
            <w:pPr>
              <w:ind w:right="34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00670D">
              <w:rPr>
                <w:rFonts w:ascii="Times New Roman" w:hAnsi="Times New Roman"/>
                <w:b/>
                <w:szCs w:val="22"/>
              </w:rPr>
              <w:t>Прочие услуги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48166A">
            <w:pPr>
              <w:pStyle w:val="1"/>
              <w:numPr>
                <w:ilvl w:val="0"/>
                <w:numId w:val="0"/>
              </w:numPr>
              <w:ind w:firstLine="34"/>
              <w:jc w:val="center"/>
              <w:rPr>
                <w:b/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Получение Депонентом отчетных документов о выполнении депозитарных операций: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48166A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ind w:right="516"/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-лично в Депозитарии, через ЭДО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-электронной почтой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-почтовым отправлением  (заказным письмом с уведомлением) по письменному поручению Депонента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120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4F0DEA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-почтовым отправлением (заказная бандероль с уведомлением), экспресс-доставка (письмо, бандероль) по письменному поручению Депонента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300+возмещение фактических расходов Депозитария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Информирование Депонента о корпоративных действиях Эмитента депонированных ценных бумаг (о проведении общих собраний, выплате дивидендов, и т.п.):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2" w:rsidRPr="0000670D" w:rsidRDefault="003232D2" w:rsidP="00C42F21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5.2.1.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D2" w:rsidRPr="0000670D" w:rsidRDefault="003232D2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-</w:t>
            </w:r>
            <w:r w:rsidRPr="0000670D">
              <w:rPr>
                <w:rFonts w:ascii="Times New Roman" w:hAnsi="Times New Roman"/>
                <w:szCs w:val="22"/>
              </w:rPr>
              <w:t>лично в Депозитарии, через сайт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D2" w:rsidRPr="0000670D" w:rsidRDefault="003232D2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98561E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Рассылка информации, получаемой от Эмитента (регистратора, вышестоящего депозитария) по корпоративным действиям (в </w:t>
            </w:r>
            <w:proofErr w:type="spellStart"/>
            <w:r w:rsidRPr="0000670D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Pr="0000670D">
              <w:rPr>
                <w:rFonts w:ascii="Times New Roman" w:hAnsi="Times New Roman"/>
                <w:szCs w:val="22"/>
              </w:rPr>
              <w:t>. бюллетеней для голосовани</w:t>
            </w:r>
            <w:r w:rsidR="0098561E" w:rsidRPr="0000670D">
              <w:rPr>
                <w:rFonts w:ascii="Times New Roman" w:hAnsi="Times New Roman"/>
                <w:szCs w:val="22"/>
              </w:rPr>
              <w:t>я</w:t>
            </w:r>
            <w:r w:rsidRPr="0000670D">
              <w:rPr>
                <w:rFonts w:ascii="Times New Roman" w:hAnsi="Times New Roman"/>
                <w:szCs w:val="22"/>
              </w:rPr>
              <w:t xml:space="preserve"> на собрании владельцев ценных бумаг):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670D" w:rsidRPr="0000670D" w:rsidTr="00985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-на бумажном носителе почтовым отправлением (заказным письмом с уведомлением) по письменному поручению Депонента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500</w:t>
            </w:r>
          </w:p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+ 50 за каждый лист</w:t>
            </w:r>
          </w:p>
        </w:tc>
      </w:tr>
      <w:tr w:rsidR="0000670D" w:rsidRPr="0000670D" w:rsidTr="0098561E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C" w:rsidRPr="0000670D" w:rsidRDefault="00106DFC" w:rsidP="00C828DA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-электронной почтой по адресу, указанному в Анкете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</w:tcBorders>
          </w:tcPr>
          <w:p w:rsidR="00106DFC" w:rsidRPr="0000670D" w:rsidRDefault="00C07EB3" w:rsidP="002E3BB3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E74F31">
            <w:pPr>
              <w:jc w:val="both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Передача Регистратору сведений о Депонентах, по договору с которыми Депозитарий выступает номинальным держателем, для осуществления прав Депонентов (участие в общем собрании акционеров, получение доходов по ценным бумагам и 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FC" w:rsidRPr="0000670D" w:rsidRDefault="00106DFC" w:rsidP="00B25500">
            <w:pPr>
              <w:spacing w:before="240"/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</w:tcPr>
          <w:p w:rsidR="00106DFC" w:rsidRPr="0000670D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06DFC" w:rsidRPr="0000670D" w:rsidRDefault="00106DFC" w:rsidP="00593F24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Передача Регистратору сведений о Депонентах, по договору с которыми Депозитарий выступает номинальным держателем, в случаях, предусмотренных законодательством РФ (за исключением случаев, предусмотренных п. </w:t>
            </w:r>
            <w:r w:rsidR="00593F24" w:rsidRPr="0000670D">
              <w:rPr>
                <w:rFonts w:ascii="Times New Roman" w:hAnsi="Times New Roman"/>
                <w:spacing w:val="-4"/>
                <w:szCs w:val="22"/>
              </w:rPr>
              <w:t>5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.4.)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6DFC" w:rsidRPr="0000670D" w:rsidRDefault="00106DFC" w:rsidP="0098561E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2 400 </w:t>
            </w:r>
            <w:r w:rsidRPr="0000670D">
              <w:rPr>
                <w:rFonts w:ascii="Times New Roman" w:hAnsi="Times New Roman"/>
                <w:szCs w:val="22"/>
              </w:rPr>
              <w:br/>
              <w:t>+ 60 за каждого Депонента</w:t>
            </w:r>
          </w:p>
        </w:tc>
      </w:tr>
      <w:tr w:rsidR="0000670D" w:rsidRPr="0000670D" w:rsidTr="00B804CE">
        <w:tc>
          <w:tcPr>
            <w:tcW w:w="851" w:type="dxa"/>
          </w:tcPr>
          <w:p w:rsidR="00106DFC" w:rsidRPr="0000670D" w:rsidRDefault="00C07EB3" w:rsidP="002E3D07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.6.</w:t>
            </w:r>
          </w:p>
        </w:tc>
        <w:tc>
          <w:tcPr>
            <w:tcW w:w="6379" w:type="dxa"/>
          </w:tcPr>
          <w:p w:rsidR="00106DFC" w:rsidRPr="0000670D" w:rsidRDefault="00106DFC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Предоставление Депонентам, владеющим более 1% голосующих акций, данных из Реестра акционеров</w:t>
            </w:r>
          </w:p>
        </w:tc>
        <w:tc>
          <w:tcPr>
            <w:tcW w:w="2835" w:type="dxa"/>
          </w:tcPr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2 400 </w:t>
            </w:r>
            <w:r w:rsidRPr="0000670D">
              <w:rPr>
                <w:rFonts w:ascii="Times New Roman" w:hAnsi="Times New Roman"/>
                <w:szCs w:val="22"/>
              </w:rPr>
              <w:br/>
              <w:t xml:space="preserve">+ 60 за каждого Депонента </w:t>
            </w:r>
          </w:p>
          <w:p w:rsidR="00106DFC" w:rsidRPr="0000670D" w:rsidRDefault="00106DFC" w:rsidP="00B25500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 возмещение затрат сторонних контрагентов (регистратора)</w:t>
            </w:r>
          </w:p>
        </w:tc>
      </w:tr>
      <w:tr w:rsidR="0000670D" w:rsidRPr="0000670D" w:rsidTr="00B804CE">
        <w:tc>
          <w:tcPr>
            <w:tcW w:w="851" w:type="dxa"/>
          </w:tcPr>
          <w:p w:rsidR="00106DFC" w:rsidRPr="0000670D" w:rsidRDefault="00C07EB3" w:rsidP="003232D2">
            <w:pPr>
              <w:pStyle w:val="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.7.</w:t>
            </w:r>
          </w:p>
        </w:tc>
        <w:tc>
          <w:tcPr>
            <w:tcW w:w="6379" w:type="dxa"/>
          </w:tcPr>
          <w:p w:rsidR="00106DFC" w:rsidRPr="0000670D" w:rsidRDefault="00106DFC" w:rsidP="004C513C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Участие в общих собраниях акционеров и голосование по поручению и на основании доверенности Депонента</w:t>
            </w:r>
          </w:p>
        </w:tc>
        <w:tc>
          <w:tcPr>
            <w:tcW w:w="2835" w:type="dxa"/>
          </w:tcPr>
          <w:p w:rsidR="00106DFC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Возмещение фактических расходов Депозитария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8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</w:p>
        </w:tc>
      </w:tr>
      <w:tr w:rsidR="0000670D" w:rsidRPr="0000670D" w:rsidTr="00B804CE"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00670D" w:rsidRDefault="00C07EB3" w:rsidP="002E3D07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00670D">
              <w:rPr>
                <w:b/>
                <w:sz w:val="22"/>
                <w:szCs w:val="22"/>
              </w:rPr>
              <w:t>6</w:t>
            </w:r>
            <w:r w:rsidR="00106DFC" w:rsidRPr="000067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6DFC" w:rsidRPr="0000670D" w:rsidRDefault="00106DFC" w:rsidP="0082575F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b/>
                <w:spacing w:val="-4"/>
                <w:szCs w:val="22"/>
              </w:rPr>
              <w:t>Выплаты доходов по ценным бумагам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(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9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,1</w:t>
            </w:r>
            <w:r w:rsidR="0082575F" w:rsidRPr="0000670D">
              <w:rPr>
                <w:rFonts w:ascii="Times New Roman" w:hAnsi="Times New Roman"/>
                <w:b/>
                <w:szCs w:val="22"/>
                <w:vertAlign w:val="superscript"/>
              </w:rPr>
              <w:t>0</w:t>
            </w:r>
            <w:r w:rsidRPr="0000670D">
              <w:rPr>
                <w:rFonts w:ascii="Times New Roman" w:hAnsi="Times New Roman"/>
                <w:b/>
                <w:szCs w:val="22"/>
                <w:vertAlign w:val="superscript"/>
              </w:rPr>
              <w:t>)</w:t>
            </w:r>
          </w:p>
        </w:tc>
      </w:tr>
      <w:tr w:rsidR="0000670D" w:rsidRPr="0000670D" w:rsidTr="00B804CE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106DFC" w:rsidRPr="0000670D" w:rsidRDefault="00C07EB3" w:rsidP="00A82F3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6</w:t>
            </w:r>
            <w:r w:rsidR="00106DFC" w:rsidRPr="0000670D">
              <w:rPr>
                <w:rFonts w:ascii="Times New Roman" w:hAnsi="Times New Roman"/>
                <w:szCs w:val="22"/>
              </w:rPr>
              <w:t>.1.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06DFC" w:rsidRPr="0000670D" w:rsidRDefault="00106DFC" w:rsidP="0077103D">
            <w:pPr>
              <w:jc w:val="both"/>
              <w:rPr>
                <w:rFonts w:ascii="Times New Roman" w:hAnsi="Times New Roman"/>
                <w:b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Расчет доходов по ценным бумагам, учитываемым в рамках договора на брокерское обслуживание с АО ИФК «</w:t>
            </w:r>
            <w:proofErr w:type="spellStart"/>
            <w:r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pacing w:val="-4"/>
                <w:szCs w:val="22"/>
              </w:rPr>
              <w:t>», и перечисление на</w:t>
            </w:r>
            <w:r w:rsidR="0077103D" w:rsidRPr="0000670D">
              <w:rPr>
                <w:rFonts w:ascii="Times New Roman" w:hAnsi="Times New Roman"/>
                <w:spacing w:val="-4"/>
                <w:szCs w:val="22"/>
              </w:rPr>
              <w:t xml:space="preserve"> специальный брокерский счет АО 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ИФК</w:t>
            </w:r>
            <w:r w:rsidR="0077103D" w:rsidRPr="0000670D">
              <w:rPr>
                <w:rFonts w:ascii="Times New Roman" w:hAnsi="Times New Roman"/>
                <w:spacing w:val="-4"/>
                <w:szCs w:val="22"/>
              </w:rPr>
              <w:t> 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«</w:t>
            </w:r>
            <w:proofErr w:type="spellStart"/>
            <w:r w:rsidRPr="0000670D">
              <w:rPr>
                <w:rFonts w:ascii="Times New Roman" w:hAnsi="Times New Roman"/>
                <w:spacing w:val="-4"/>
                <w:szCs w:val="22"/>
              </w:rPr>
              <w:t>Солид</w:t>
            </w:r>
            <w:proofErr w:type="spellEnd"/>
            <w:r w:rsidRPr="0000670D">
              <w:rPr>
                <w:rFonts w:ascii="Times New Roman" w:hAnsi="Times New Roman"/>
                <w:spacing w:val="-4"/>
                <w:szCs w:val="22"/>
              </w:rPr>
              <w:t>» в пользу Клиента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6DFC" w:rsidRPr="0000670D" w:rsidRDefault="00106DFC" w:rsidP="001B66AB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Бесплатно</w:t>
            </w:r>
          </w:p>
          <w:p w:rsidR="00106DFC" w:rsidRPr="0000670D" w:rsidRDefault="00106DFC" w:rsidP="001B66AB">
            <w:pPr>
              <w:jc w:val="center"/>
              <w:rPr>
                <w:rFonts w:ascii="Times New Roman" w:hAnsi="Times New Roman"/>
                <w:b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C07EB3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6</w:t>
            </w:r>
            <w:r w:rsidR="00106DFC" w:rsidRPr="0000670D">
              <w:rPr>
                <w:sz w:val="22"/>
                <w:szCs w:val="22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77103D">
            <w:pPr>
              <w:ind w:firstLine="34"/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Расчет и перечисление доходов по ценным бумагам на БАНКОВСКИЕ реквизиты Клиента, указанные в Анкете Клиента: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4D6ECC">
            <w:pPr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0,1% от перечисляемой суммы дохода, но не менее 100 и не более 1</w:t>
            </w:r>
            <w:r w:rsidR="004D6ECC" w:rsidRPr="0000670D">
              <w:rPr>
                <w:rFonts w:ascii="Times New Roman" w:hAnsi="Times New Roman"/>
                <w:szCs w:val="22"/>
              </w:rPr>
              <w:t>5</w:t>
            </w:r>
            <w:r w:rsidRPr="0000670D">
              <w:rPr>
                <w:rFonts w:ascii="Times New Roman" w:hAnsi="Times New Roman"/>
                <w:szCs w:val="22"/>
              </w:rPr>
              <w:t> 000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C07EB3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6</w:t>
            </w:r>
            <w:r w:rsidR="00106DFC" w:rsidRPr="0000670D">
              <w:rPr>
                <w:sz w:val="22"/>
                <w:szCs w:val="22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76790A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Расчет и перечисление доходов по ценным бумагам ПОЧТОВЫМ переводом по почтовому адресу, указанному в Анкете Клиента (услуга оказывается только для доходов в рублях):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E74F31">
            <w:pPr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0,1% от перечисляемой суммы дохода, </w:t>
            </w:r>
            <w:r w:rsidRPr="0000670D">
              <w:rPr>
                <w:rFonts w:ascii="Times New Roman" w:hAnsi="Times New Roman"/>
                <w:szCs w:val="22"/>
              </w:rPr>
              <w:br/>
              <w:t>но не менее 100 и не более 1</w:t>
            </w:r>
            <w:r w:rsidR="004D6ECC" w:rsidRPr="0000670D">
              <w:rPr>
                <w:rFonts w:ascii="Times New Roman" w:hAnsi="Times New Roman"/>
                <w:szCs w:val="22"/>
              </w:rPr>
              <w:t>5</w:t>
            </w:r>
            <w:r w:rsidRPr="0000670D">
              <w:rPr>
                <w:rFonts w:ascii="Times New Roman" w:hAnsi="Times New Roman"/>
                <w:szCs w:val="22"/>
              </w:rPr>
              <w:t> 000</w:t>
            </w:r>
          </w:p>
          <w:p w:rsidR="00106DFC" w:rsidRPr="0000670D" w:rsidRDefault="00106DFC" w:rsidP="004D6ECC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+ возмещение услуг почты.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6ECC" w:rsidRPr="0000670D" w:rsidRDefault="004D6ECC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6ECC" w:rsidRPr="0000670D" w:rsidRDefault="004D6ECC" w:rsidP="00B40AF9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Расчет и перечисление доходов по ценным бумагам на реквизиты Клиента, указанные в Анкете Клиента, при перечислении суммы дохода в размере менее 100 руб.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6ECC" w:rsidRPr="0000670D" w:rsidRDefault="004D6ECC" w:rsidP="00E74F31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00670D" w:rsidRPr="0000670D" w:rsidTr="00B804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C07EB3" w:rsidP="004D6ECC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  <w:rPr>
                <w:sz w:val="22"/>
                <w:szCs w:val="22"/>
              </w:rPr>
            </w:pPr>
            <w:r w:rsidRPr="0000670D">
              <w:rPr>
                <w:sz w:val="22"/>
                <w:szCs w:val="22"/>
              </w:rPr>
              <w:t>6</w:t>
            </w:r>
            <w:r w:rsidR="00106DFC" w:rsidRPr="0000670D">
              <w:rPr>
                <w:sz w:val="22"/>
                <w:szCs w:val="22"/>
              </w:rPr>
              <w:t>.</w:t>
            </w:r>
            <w:r w:rsidR="004D6ECC" w:rsidRPr="0000670D">
              <w:rPr>
                <w:sz w:val="22"/>
                <w:szCs w:val="22"/>
              </w:rPr>
              <w:t>5</w:t>
            </w:r>
            <w:r w:rsidR="00106DFC" w:rsidRPr="0000670D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3232D2" w:rsidP="0076790A">
            <w:pPr>
              <w:jc w:val="both"/>
              <w:rPr>
                <w:rFonts w:ascii="Times New Roman" w:hAnsi="Times New Roman"/>
                <w:spacing w:val="-4"/>
                <w:szCs w:val="22"/>
              </w:rPr>
            </w:pPr>
            <w:r w:rsidRPr="0000670D">
              <w:rPr>
                <w:rFonts w:ascii="Times New Roman" w:hAnsi="Times New Roman"/>
                <w:spacing w:val="-4"/>
                <w:szCs w:val="22"/>
              </w:rPr>
              <w:t>Подача заявления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по невостребованны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м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ранее и возвращенны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м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Эмитент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ам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дивидендов, по каждой выплате и каждому выпуску ценных бумаг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,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 xml:space="preserve"> 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по заявлению Клиента </w:t>
            </w:r>
            <w:r w:rsidR="00106DFC" w:rsidRPr="0000670D">
              <w:rPr>
                <w:rFonts w:ascii="Times New Roman" w:hAnsi="Times New Roman"/>
                <w:spacing w:val="-4"/>
                <w:szCs w:val="22"/>
              </w:rPr>
              <w:t>(услуга оплачивается в момент подачи заявления)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6DFC" w:rsidRPr="0000670D" w:rsidRDefault="00106DFC" w:rsidP="00E74F31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500 </w:t>
            </w:r>
          </w:p>
          <w:p w:rsidR="00106DFC" w:rsidRPr="0000670D" w:rsidRDefault="00106DFC" w:rsidP="0076790A">
            <w:pPr>
              <w:jc w:val="center"/>
              <w:rPr>
                <w:rFonts w:ascii="Times New Roman" w:hAnsi="Times New Roman"/>
                <w:szCs w:val="22"/>
              </w:rPr>
            </w:pPr>
            <w:r w:rsidRPr="0000670D">
              <w:rPr>
                <w:rFonts w:ascii="Times New Roman" w:hAnsi="Times New Roman"/>
                <w:szCs w:val="22"/>
              </w:rPr>
              <w:t xml:space="preserve">Дополнительно оплачивается услуга за 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Расчет и перечисление доходов в соответствии с </w:t>
            </w:r>
            <w:proofErr w:type="spellStart"/>
            <w:r w:rsidRPr="0000670D">
              <w:rPr>
                <w:rFonts w:ascii="Times New Roman" w:hAnsi="Times New Roman"/>
                <w:spacing w:val="-4"/>
                <w:szCs w:val="22"/>
              </w:rPr>
              <w:t>п.п</w:t>
            </w:r>
            <w:proofErr w:type="spellEnd"/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. </w:t>
            </w:r>
            <w:r w:rsidR="00593F24" w:rsidRPr="0000670D">
              <w:rPr>
                <w:rFonts w:ascii="Times New Roman" w:hAnsi="Times New Roman"/>
                <w:spacing w:val="-4"/>
                <w:szCs w:val="22"/>
              </w:rPr>
              <w:t>6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.1-</w:t>
            </w:r>
            <w:r w:rsidR="00593F24" w:rsidRPr="0000670D">
              <w:rPr>
                <w:rFonts w:ascii="Times New Roman" w:hAnsi="Times New Roman"/>
                <w:spacing w:val="-4"/>
                <w:szCs w:val="22"/>
              </w:rPr>
              <w:t>6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>.</w:t>
            </w:r>
            <w:r w:rsidR="0076790A" w:rsidRPr="0000670D">
              <w:rPr>
                <w:rFonts w:ascii="Times New Roman" w:hAnsi="Times New Roman"/>
                <w:spacing w:val="-4"/>
                <w:szCs w:val="22"/>
              </w:rPr>
              <w:t>4</w:t>
            </w:r>
            <w:r w:rsidRPr="0000670D">
              <w:rPr>
                <w:rFonts w:ascii="Times New Roman" w:hAnsi="Times New Roman"/>
                <w:spacing w:val="-4"/>
                <w:szCs w:val="22"/>
              </w:rPr>
              <w:t xml:space="preserve"> Прейскуранта</w:t>
            </w:r>
          </w:p>
        </w:tc>
      </w:tr>
    </w:tbl>
    <w:p w:rsidR="0068632A" w:rsidRPr="0000670D" w:rsidRDefault="00FC5571" w:rsidP="00FC6913">
      <w:pPr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</w:rPr>
        <w:t>Примечания</w:t>
      </w:r>
    </w:p>
    <w:p w:rsidR="00B855CA" w:rsidRPr="0000670D" w:rsidRDefault="003022EC" w:rsidP="003B3CFC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  <w:vertAlign w:val="superscript"/>
        </w:rPr>
        <w:t>(</w:t>
      </w:r>
      <w:r w:rsidRPr="000067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00670D">
        <w:rPr>
          <w:rFonts w:ascii="Times New Roman" w:hAnsi="Times New Roman"/>
          <w:sz w:val="18"/>
          <w:szCs w:val="18"/>
          <w:vertAlign w:val="superscript"/>
        </w:rPr>
        <w:t>)</w:t>
      </w:r>
      <w:r w:rsidR="00C8093B" w:rsidRPr="0000670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855CA" w:rsidRPr="0000670D">
        <w:rPr>
          <w:rFonts w:ascii="Times New Roman" w:hAnsi="Times New Roman"/>
          <w:bCs/>
          <w:sz w:val="18"/>
          <w:szCs w:val="18"/>
        </w:rPr>
        <w:t>Тарифы по оплате депозитарных и сопутствующих услуг АО ИФК «</w:t>
      </w:r>
      <w:proofErr w:type="spellStart"/>
      <w:r w:rsidR="00B855CA" w:rsidRPr="0000670D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B855CA" w:rsidRPr="0000670D">
        <w:rPr>
          <w:rFonts w:ascii="Times New Roman" w:hAnsi="Times New Roman"/>
          <w:bCs/>
          <w:sz w:val="18"/>
          <w:szCs w:val="18"/>
        </w:rPr>
        <w:t xml:space="preserve">» </w:t>
      </w:r>
      <w:r w:rsidR="00B855CA" w:rsidRPr="0000670D">
        <w:rPr>
          <w:rFonts w:ascii="Times New Roman" w:hAnsi="Times New Roman"/>
          <w:sz w:val="18"/>
          <w:szCs w:val="18"/>
        </w:rPr>
        <w:t xml:space="preserve">НДС не облагаются в соответствии </w:t>
      </w:r>
      <w:r w:rsidR="00A55B76" w:rsidRPr="0000670D">
        <w:rPr>
          <w:rFonts w:ascii="Times New Roman" w:hAnsi="Times New Roman"/>
          <w:sz w:val="18"/>
          <w:szCs w:val="18"/>
          <w:lang w:val="en-US"/>
        </w:rPr>
        <w:t>c</w:t>
      </w:r>
      <w:r w:rsidR="00A55B76" w:rsidRPr="0000670D">
        <w:rPr>
          <w:rFonts w:ascii="Times New Roman" w:hAnsi="Times New Roman"/>
          <w:sz w:val="18"/>
          <w:szCs w:val="18"/>
        </w:rPr>
        <w:t xml:space="preserve"> </w:t>
      </w:r>
      <w:r w:rsidR="00B855CA" w:rsidRPr="0000670D">
        <w:rPr>
          <w:rFonts w:ascii="Times New Roman" w:hAnsi="Times New Roman"/>
          <w:sz w:val="18"/>
          <w:szCs w:val="18"/>
        </w:rPr>
        <w:t>НК РФ</w:t>
      </w:r>
      <w:r w:rsidR="000618DA" w:rsidRPr="0000670D">
        <w:rPr>
          <w:rFonts w:ascii="Times New Roman" w:hAnsi="Times New Roman"/>
          <w:sz w:val="18"/>
          <w:szCs w:val="18"/>
        </w:rPr>
        <w:t xml:space="preserve">, </w:t>
      </w:r>
      <w:r w:rsidR="00C5164C" w:rsidRPr="0000670D">
        <w:rPr>
          <w:rFonts w:ascii="Times New Roman" w:hAnsi="Times New Roman"/>
          <w:sz w:val="18"/>
          <w:szCs w:val="18"/>
        </w:rPr>
        <w:t>за исключением</w:t>
      </w:r>
      <w:r w:rsidR="00264634" w:rsidRPr="0000670D">
        <w:rPr>
          <w:rFonts w:ascii="Times New Roman" w:hAnsi="Times New Roman"/>
          <w:sz w:val="18"/>
          <w:szCs w:val="18"/>
        </w:rPr>
        <w:t xml:space="preserve"> п.</w:t>
      </w:r>
      <w:r w:rsidR="00DC1981" w:rsidRPr="0000670D">
        <w:rPr>
          <w:rFonts w:ascii="Times New Roman" w:hAnsi="Times New Roman"/>
          <w:sz w:val="18"/>
          <w:szCs w:val="18"/>
        </w:rPr>
        <w:t xml:space="preserve"> </w:t>
      </w:r>
      <w:r w:rsidR="00593F24" w:rsidRPr="0000670D">
        <w:rPr>
          <w:rFonts w:ascii="Times New Roman" w:hAnsi="Times New Roman"/>
          <w:sz w:val="18"/>
          <w:szCs w:val="18"/>
        </w:rPr>
        <w:t xml:space="preserve">6 </w:t>
      </w:r>
      <w:r w:rsidR="000618DA" w:rsidRPr="0000670D">
        <w:rPr>
          <w:rFonts w:ascii="Times New Roman" w:hAnsi="Times New Roman"/>
          <w:sz w:val="18"/>
          <w:szCs w:val="18"/>
        </w:rPr>
        <w:t>настоящего Прей</w:t>
      </w:r>
      <w:r w:rsidR="00944345" w:rsidRPr="0000670D">
        <w:rPr>
          <w:rFonts w:ascii="Times New Roman" w:hAnsi="Times New Roman"/>
          <w:sz w:val="18"/>
          <w:szCs w:val="18"/>
        </w:rPr>
        <w:t>с</w:t>
      </w:r>
      <w:r w:rsidR="000618DA" w:rsidRPr="0000670D">
        <w:rPr>
          <w:rFonts w:ascii="Times New Roman" w:hAnsi="Times New Roman"/>
          <w:sz w:val="18"/>
          <w:szCs w:val="18"/>
        </w:rPr>
        <w:t>куранта</w:t>
      </w:r>
      <w:r w:rsidR="00944345" w:rsidRPr="0000670D">
        <w:rPr>
          <w:rFonts w:ascii="Times New Roman" w:hAnsi="Times New Roman"/>
          <w:sz w:val="18"/>
          <w:szCs w:val="18"/>
        </w:rPr>
        <w:t>.</w:t>
      </w:r>
    </w:p>
    <w:p w:rsidR="00A55B76" w:rsidRPr="0000670D" w:rsidRDefault="00A55B76" w:rsidP="00A55B76">
      <w:pPr>
        <w:rPr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(2)</w:t>
      </w:r>
      <w:r w:rsidRPr="0000670D">
        <w:rPr>
          <w:rFonts w:ascii="Times New Roman" w:hAnsi="Times New Roman"/>
          <w:bCs/>
          <w:sz w:val="18"/>
          <w:szCs w:val="18"/>
        </w:rPr>
        <w:t xml:space="preserve"> Депозитарный  тариф  </w:t>
      </w:r>
      <w:r w:rsidRPr="0000670D">
        <w:rPr>
          <w:rFonts w:ascii="Times New Roman" w:hAnsi="Times New Roman"/>
          <w:b/>
          <w:bCs/>
          <w:sz w:val="18"/>
          <w:szCs w:val="18"/>
        </w:rPr>
        <w:t>«Активный трейдер» / «Частный инвестор»</w:t>
      </w:r>
      <w:r w:rsidRPr="0000670D">
        <w:rPr>
          <w:rFonts w:ascii="Times New Roman" w:hAnsi="Times New Roman"/>
          <w:bCs/>
          <w:sz w:val="18"/>
          <w:szCs w:val="18"/>
        </w:rPr>
        <w:t xml:space="preserve"> определяется </w:t>
      </w:r>
      <w:proofErr w:type="gramStart"/>
      <w:r w:rsidRPr="0000670D">
        <w:rPr>
          <w:rFonts w:ascii="Times New Roman" w:hAnsi="Times New Roman"/>
          <w:bCs/>
          <w:sz w:val="18"/>
          <w:szCs w:val="18"/>
        </w:rPr>
        <w:t>исходя из выбранного Клиентом  тарифного плана по брокерскому обслуживанию и фиксируется</w:t>
      </w:r>
      <w:proofErr w:type="gramEnd"/>
      <w:r w:rsidRPr="0000670D">
        <w:rPr>
          <w:rFonts w:ascii="Times New Roman" w:hAnsi="Times New Roman"/>
          <w:bCs/>
          <w:sz w:val="18"/>
          <w:szCs w:val="18"/>
        </w:rPr>
        <w:t xml:space="preserve"> в Заявлении на комплексное обслуживание (приложение № 3 к Регламенту оказания АО ИФК «</w:t>
      </w:r>
      <w:proofErr w:type="spellStart"/>
      <w:r w:rsidRPr="0000670D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Pr="0000670D">
        <w:rPr>
          <w:rFonts w:ascii="Times New Roman" w:hAnsi="Times New Roman"/>
          <w:bCs/>
          <w:sz w:val="18"/>
          <w:szCs w:val="18"/>
        </w:rPr>
        <w:t>» услуг на финансовых рынках).</w:t>
      </w:r>
    </w:p>
    <w:p w:rsidR="00711800" w:rsidRPr="0000670D" w:rsidRDefault="00C8093B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0067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3</w:t>
      </w:r>
      <w:r w:rsidRPr="0000670D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)</w:t>
      </w:r>
      <w:r w:rsidRPr="0000670D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711800" w:rsidRPr="0000670D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711800" w:rsidRPr="000067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711800" w:rsidRPr="0000670D">
        <w:rPr>
          <w:rFonts w:ascii="Times New Roman" w:hAnsi="Times New Roman"/>
          <w:b/>
          <w:position w:val="4"/>
          <w:sz w:val="18"/>
          <w:szCs w:val="18"/>
        </w:rPr>
        <w:t>«Портфельный Инвестор»</w:t>
      </w:r>
      <w:r w:rsidR="00711800" w:rsidRPr="0000670D">
        <w:rPr>
          <w:rFonts w:ascii="Times New Roman" w:hAnsi="Times New Roman"/>
          <w:position w:val="4"/>
          <w:sz w:val="18"/>
          <w:szCs w:val="18"/>
        </w:rPr>
        <w:t xml:space="preserve"> действу</w:t>
      </w:r>
      <w:r w:rsidR="00FC7B61" w:rsidRPr="0000670D">
        <w:rPr>
          <w:rFonts w:ascii="Times New Roman" w:hAnsi="Times New Roman"/>
          <w:position w:val="4"/>
          <w:sz w:val="18"/>
          <w:szCs w:val="18"/>
        </w:rPr>
        <w:t>е</w:t>
      </w:r>
      <w:r w:rsidR="00711800" w:rsidRPr="0000670D">
        <w:rPr>
          <w:rFonts w:ascii="Times New Roman" w:hAnsi="Times New Roman"/>
          <w:position w:val="4"/>
          <w:sz w:val="18"/>
          <w:szCs w:val="18"/>
        </w:rPr>
        <w:t>т совместно с Тарифом «Портфельный Инвестор» по брокерскому обслуживанию для Клиентов, заключивших договор об оказании услуг на финансовых рынках до 01.01.2009г.</w:t>
      </w:r>
    </w:p>
    <w:p w:rsidR="00F55773" w:rsidRPr="0000670D" w:rsidRDefault="00551523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4</w:t>
      </w:r>
      <w:r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)</w:t>
      </w:r>
      <w:r w:rsidRPr="000067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F55773" w:rsidRPr="0000670D">
        <w:rPr>
          <w:rFonts w:ascii="Times New Roman" w:hAnsi="Times New Roman"/>
          <w:position w:val="4"/>
          <w:sz w:val="18"/>
          <w:szCs w:val="18"/>
        </w:rPr>
        <w:t xml:space="preserve">Депозитарный тариф </w:t>
      </w:r>
      <w:r w:rsidR="00F55773" w:rsidRPr="0000670D">
        <w:rPr>
          <w:rFonts w:ascii="Times New Roman" w:hAnsi="Times New Roman"/>
          <w:b/>
          <w:position w:val="4"/>
          <w:sz w:val="18"/>
          <w:szCs w:val="18"/>
        </w:rPr>
        <w:t>«</w:t>
      </w:r>
      <w:r w:rsidR="00E1531E" w:rsidRPr="0000670D">
        <w:rPr>
          <w:rFonts w:ascii="Times New Roman" w:hAnsi="Times New Roman"/>
          <w:b/>
          <w:position w:val="4"/>
          <w:sz w:val="18"/>
          <w:szCs w:val="18"/>
        </w:rPr>
        <w:t>ИЦБ-</w:t>
      </w:r>
      <w:r w:rsidR="00F55773" w:rsidRPr="0000670D">
        <w:rPr>
          <w:rFonts w:ascii="Times New Roman" w:hAnsi="Times New Roman"/>
          <w:b/>
          <w:position w:val="4"/>
          <w:sz w:val="18"/>
          <w:szCs w:val="18"/>
        </w:rPr>
        <w:t>П</w:t>
      </w:r>
      <w:r w:rsidR="00E1531E" w:rsidRPr="0000670D">
        <w:rPr>
          <w:rFonts w:ascii="Times New Roman" w:hAnsi="Times New Roman"/>
          <w:b/>
          <w:position w:val="4"/>
          <w:sz w:val="18"/>
          <w:szCs w:val="18"/>
        </w:rPr>
        <w:t>АО СПБ»</w:t>
      </w:r>
      <w:r w:rsidR="00E1531E" w:rsidRPr="000067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B78E5" w:rsidRPr="0000670D">
        <w:rPr>
          <w:rFonts w:ascii="Times New Roman" w:hAnsi="Times New Roman"/>
          <w:position w:val="4"/>
          <w:sz w:val="18"/>
          <w:szCs w:val="18"/>
        </w:rPr>
        <w:t>в отношении учета операций с ценными бумагами эмитентов-нерезидентов, размещаемых на ПАО «Санкт-Петербургская биржа»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>,</w:t>
      </w:r>
      <w:r w:rsidR="00BB78E5" w:rsidRPr="0000670D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E1531E" w:rsidRPr="0000670D">
        <w:rPr>
          <w:rFonts w:ascii="Times New Roman" w:hAnsi="Times New Roman"/>
          <w:position w:val="4"/>
          <w:sz w:val="18"/>
          <w:szCs w:val="18"/>
        </w:rPr>
        <w:t>действует совместно с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 xml:space="preserve"> любыми </w:t>
      </w:r>
      <w:r w:rsidR="00E1531E" w:rsidRPr="0000670D">
        <w:rPr>
          <w:rFonts w:ascii="Times New Roman" w:hAnsi="Times New Roman"/>
          <w:position w:val="4"/>
          <w:sz w:val="18"/>
          <w:szCs w:val="18"/>
        </w:rPr>
        <w:t>Тариф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>ными планами по брокерскому обслуживанию</w:t>
      </w:r>
      <w:r w:rsidR="008E3B44" w:rsidRPr="0000670D">
        <w:rPr>
          <w:rFonts w:ascii="Times New Roman" w:hAnsi="Times New Roman"/>
          <w:position w:val="4"/>
          <w:sz w:val="18"/>
          <w:szCs w:val="18"/>
        </w:rPr>
        <w:t xml:space="preserve"> биржевых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 xml:space="preserve"> сделок с ценными бумагами на </w:t>
      </w:r>
      <w:r w:rsidR="00B336AC" w:rsidRPr="0000670D">
        <w:rPr>
          <w:rFonts w:ascii="Times New Roman" w:hAnsi="Times New Roman"/>
          <w:position w:val="4"/>
          <w:sz w:val="18"/>
          <w:szCs w:val="18"/>
        </w:rPr>
        <w:t xml:space="preserve">фондовом 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>рынке ПАО «Московская биржа»</w:t>
      </w:r>
      <w:r w:rsidR="008E3B44" w:rsidRPr="0000670D">
        <w:rPr>
          <w:rFonts w:ascii="Times New Roman" w:hAnsi="Times New Roman"/>
          <w:position w:val="4"/>
          <w:sz w:val="18"/>
          <w:szCs w:val="18"/>
        </w:rPr>
        <w:t>.</w:t>
      </w:r>
      <w:r w:rsidR="003C0251" w:rsidRPr="0000670D">
        <w:rPr>
          <w:rFonts w:ascii="Times New Roman" w:hAnsi="Times New Roman"/>
          <w:position w:val="4"/>
          <w:sz w:val="18"/>
          <w:szCs w:val="18"/>
        </w:rPr>
        <w:t xml:space="preserve"> </w:t>
      </w:r>
    </w:p>
    <w:p w:rsidR="000E0414" w:rsidRPr="0000670D" w:rsidRDefault="000E0414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5</w:t>
      </w:r>
      <w:r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>)</w:t>
      </w:r>
      <w:r w:rsidR="00196E2C" w:rsidRPr="0000670D">
        <w:rPr>
          <w:rFonts w:ascii="Times New Roman" w:hAnsi="Times New Roman"/>
          <w:b/>
          <w:position w:val="4"/>
          <w:sz w:val="18"/>
          <w:szCs w:val="18"/>
          <w:vertAlign w:val="superscript"/>
        </w:rPr>
        <w:t xml:space="preserve"> </w:t>
      </w:r>
      <w:r w:rsidRPr="0000670D">
        <w:rPr>
          <w:rFonts w:ascii="Times New Roman" w:hAnsi="Times New Roman"/>
          <w:position w:val="4"/>
          <w:sz w:val="18"/>
          <w:szCs w:val="18"/>
        </w:rPr>
        <w:t>Неторговый счет депо – счет депо, не являющийся Торговым счетом депо в соответствии с определением, указанным в Условиях осуществления депозитарной деятельности (клиентском регламенте).</w:t>
      </w:r>
    </w:p>
    <w:p w:rsidR="005C0D61" w:rsidRPr="0000670D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sz w:val="18"/>
          <w:szCs w:val="18"/>
          <w:vertAlign w:val="superscript"/>
        </w:rPr>
        <w:t>6</w:t>
      </w:r>
      <w:r w:rsidRPr="000067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00670D">
        <w:rPr>
          <w:rFonts w:ascii="Times New Roman" w:hAnsi="Times New Roman"/>
          <w:bCs/>
          <w:sz w:val="18"/>
          <w:szCs w:val="18"/>
        </w:rPr>
        <w:t xml:space="preserve"> Плата за услугу по ведению счетов депо</w:t>
      </w:r>
      <w:r w:rsidRPr="0000670D">
        <w:rPr>
          <w:rFonts w:ascii="Times New Roman" w:hAnsi="Times New Roman"/>
          <w:sz w:val="18"/>
          <w:szCs w:val="18"/>
        </w:rPr>
        <w:t>, открытых до 31.12.2008г., по месту хранения «Н/Д у Регистратора» не взимается с физических лиц - депонентов Филиала АО ИФК «</w:t>
      </w:r>
      <w:proofErr w:type="spellStart"/>
      <w:r w:rsidRPr="0000670D">
        <w:rPr>
          <w:rFonts w:ascii="Times New Roman" w:hAnsi="Times New Roman"/>
          <w:sz w:val="18"/>
          <w:szCs w:val="18"/>
        </w:rPr>
        <w:t>Солид</w:t>
      </w:r>
      <w:proofErr w:type="spellEnd"/>
      <w:r w:rsidRPr="0000670D">
        <w:rPr>
          <w:rFonts w:ascii="Times New Roman" w:hAnsi="Times New Roman"/>
          <w:sz w:val="18"/>
          <w:szCs w:val="18"/>
        </w:rPr>
        <w:t>» в г. Альметьевске (исключая хранение Паев)</w:t>
      </w:r>
      <w:r w:rsidR="00451A2E" w:rsidRPr="0000670D">
        <w:rPr>
          <w:rFonts w:ascii="Times New Roman" w:hAnsi="Times New Roman"/>
          <w:sz w:val="18"/>
          <w:szCs w:val="18"/>
        </w:rPr>
        <w:t>.</w:t>
      </w:r>
    </w:p>
    <w:p w:rsidR="005C0D61" w:rsidRPr="0000670D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Абонентская плата</w:t>
      </w:r>
      <w:r w:rsidRPr="0000670D">
        <w:rPr>
          <w:rFonts w:ascii="Times New Roman" w:hAnsi="Times New Roman"/>
          <w:sz w:val="18"/>
          <w:szCs w:val="18"/>
        </w:rPr>
        <w:t xml:space="preserve"> в месяц за ведение счетов депо по месту хранения ценных бумаг «Н/Д у Регистратора» может определяться дополнительными соглашениями сторон.</w:t>
      </w:r>
    </w:p>
    <w:p w:rsidR="003232D2" w:rsidRPr="0000670D" w:rsidRDefault="005C0D61" w:rsidP="003232D2">
      <w:pPr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>Ставка может быть пересмотрена по причине индивидуальных особенностей обслуживания Депонента.</w:t>
      </w:r>
    </w:p>
    <w:p w:rsidR="00BE6C70" w:rsidRPr="0000670D" w:rsidRDefault="00D011F5" w:rsidP="003232D2">
      <w:pPr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sz w:val="18"/>
          <w:szCs w:val="18"/>
          <w:vertAlign w:val="superscript"/>
        </w:rPr>
        <w:t>7</w:t>
      </w:r>
      <w:r w:rsidRPr="000067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="00654EBB" w:rsidRPr="0000670D">
        <w:rPr>
          <w:rFonts w:ascii="Times New Roman" w:hAnsi="Times New Roman"/>
          <w:sz w:val="18"/>
          <w:szCs w:val="18"/>
        </w:rPr>
        <w:t xml:space="preserve"> Оценочная стоимость ценных бумаг определяется:</w:t>
      </w:r>
    </w:p>
    <w:p w:rsidR="00FE6B5B" w:rsidRPr="0000670D" w:rsidRDefault="00FE6B5B" w:rsidP="00390034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  <w:lang w:val="en-US"/>
        </w:rPr>
        <w:t>a</w:t>
      </w:r>
      <w:r w:rsidRPr="0000670D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00670D">
        <w:rPr>
          <w:rFonts w:ascii="Times New Roman" w:hAnsi="Times New Roman"/>
          <w:sz w:val="18"/>
          <w:szCs w:val="18"/>
        </w:rPr>
        <w:t>как</w:t>
      </w:r>
      <w:proofErr w:type="gramEnd"/>
      <w:r w:rsidRPr="0000670D">
        <w:rPr>
          <w:rFonts w:ascii="Times New Roman" w:hAnsi="Times New Roman"/>
          <w:sz w:val="18"/>
          <w:szCs w:val="18"/>
        </w:rPr>
        <w:t xml:space="preserve"> цена сделки указанная в договоре/оферте, в </w:t>
      </w:r>
      <w:proofErr w:type="spellStart"/>
      <w:r w:rsidRPr="0000670D">
        <w:rPr>
          <w:rFonts w:ascii="Times New Roman" w:hAnsi="Times New Roman"/>
          <w:sz w:val="18"/>
          <w:szCs w:val="18"/>
        </w:rPr>
        <w:t>т.ч</w:t>
      </w:r>
      <w:proofErr w:type="spellEnd"/>
      <w:r w:rsidRPr="0000670D">
        <w:rPr>
          <w:rFonts w:ascii="Times New Roman" w:hAnsi="Times New Roman"/>
          <w:sz w:val="18"/>
          <w:szCs w:val="18"/>
        </w:rPr>
        <w:t xml:space="preserve">. в информации по КД, погашении паев; </w:t>
      </w:r>
    </w:p>
    <w:p w:rsidR="00FE6B5B" w:rsidRPr="0000670D" w:rsidRDefault="00FE6B5B" w:rsidP="00390034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  <w:lang w:val="en-US"/>
        </w:rPr>
        <w:t>b</w:t>
      </w:r>
      <w:r w:rsidRPr="0000670D">
        <w:rPr>
          <w:rFonts w:ascii="Times New Roman" w:hAnsi="Times New Roman"/>
          <w:sz w:val="18"/>
          <w:szCs w:val="18"/>
        </w:rPr>
        <w:t>)</w:t>
      </w:r>
      <w:r w:rsidR="00390034" w:rsidRPr="000067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0670D">
        <w:rPr>
          <w:rFonts w:ascii="Times New Roman" w:hAnsi="Times New Roman"/>
          <w:sz w:val="18"/>
          <w:szCs w:val="18"/>
        </w:rPr>
        <w:t>как</w:t>
      </w:r>
      <w:proofErr w:type="gramEnd"/>
      <w:r w:rsidRPr="0000670D">
        <w:rPr>
          <w:rFonts w:ascii="Times New Roman" w:hAnsi="Times New Roman"/>
          <w:sz w:val="18"/>
          <w:szCs w:val="18"/>
        </w:rPr>
        <w:t xml:space="preserve"> произведение количества передаваемых ценных бумаг на рыночную цену одной цен</w:t>
      </w:r>
      <w:r w:rsidR="00390034" w:rsidRPr="0000670D">
        <w:rPr>
          <w:rFonts w:ascii="Times New Roman" w:hAnsi="Times New Roman"/>
          <w:sz w:val="18"/>
          <w:szCs w:val="18"/>
        </w:rPr>
        <w:t xml:space="preserve">ной бумаги на торговый день, </w:t>
      </w:r>
      <w:r w:rsidRPr="0000670D">
        <w:rPr>
          <w:rFonts w:ascii="Times New Roman" w:hAnsi="Times New Roman"/>
          <w:sz w:val="18"/>
          <w:szCs w:val="18"/>
        </w:rPr>
        <w:t>предшествующий торговому дню совершения депозитарной операции;</w:t>
      </w:r>
    </w:p>
    <w:p w:rsidR="00FE6B5B" w:rsidRPr="0000670D" w:rsidRDefault="00FE6B5B" w:rsidP="00390034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</w:rPr>
        <w:t>с) как номинальная стоимость при погашении облигаций;</w:t>
      </w:r>
    </w:p>
    <w:p w:rsidR="00FE6B5B" w:rsidRPr="0000670D" w:rsidRDefault="00FE6B5B" w:rsidP="00390034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sz w:val="18"/>
          <w:szCs w:val="18"/>
          <w:lang w:val="en-US"/>
        </w:rPr>
        <w:t>d</w:t>
      </w:r>
      <w:r w:rsidRPr="0000670D">
        <w:rPr>
          <w:rFonts w:ascii="Times New Roman" w:hAnsi="Times New Roman"/>
          <w:sz w:val="18"/>
          <w:szCs w:val="18"/>
        </w:rPr>
        <w:t>)</w:t>
      </w:r>
      <w:r w:rsidR="00390034" w:rsidRPr="000067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0670D">
        <w:rPr>
          <w:rFonts w:ascii="Times New Roman" w:hAnsi="Times New Roman"/>
          <w:sz w:val="18"/>
          <w:szCs w:val="18"/>
        </w:rPr>
        <w:t>при</w:t>
      </w:r>
      <w:proofErr w:type="gramEnd"/>
      <w:r w:rsidRPr="0000670D">
        <w:rPr>
          <w:rFonts w:ascii="Times New Roman" w:hAnsi="Times New Roman"/>
          <w:sz w:val="18"/>
          <w:szCs w:val="18"/>
        </w:rPr>
        <w:t xml:space="preserve"> отсутствии данных о рыночной стоимости, оценочная стоимость ценных бумаг устанавливается на основе цены приобретения ценных бумаг, при её отсутствии - на основе номинальной стоимости ценных бумаг.</w:t>
      </w:r>
    </w:p>
    <w:p w:rsidR="006B6240" w:rsidRPr="0000670D" w:rsidRDefault="00416030" w:rsidP="00FE6B5B">
      <w:pPr>
        <w:jc w:val="both"/>
        <w:rPr>
          <w:rFonts w:ascii="Times New Roman" w:hAnsi="Times New Roman"/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="006B6240" w:rsidRPr="000067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="006B6240" w:rsidRPr="0000670D">
        <w:rPr>
          <w:rFonts w:ascii="Times New Roman" w:hAnsi="Times New Roman"/>
          <w:sz w:val="18"/>
          <w:szCs w:val="18"/>
        </w:rPr>
        <w:t xml:space="preserve"> В случае представления интересов нескольких Депонентов прямые издержки Депозитария делятся между ними в равных долях.</w:t>
      </w:r>
    </w:p>
    <w:p w:rsidR="0040397D" w:rsidRPr="0000670D" w:rsidRDefault="00FC5571" w:rsidP="004527F3">
      <w:pPr>
        <w:jc w:val="both"/>
        <w:rPr>
          <w:rFonts w:ascii="Arial Unicode MS" w:eastAsia="Arial Unicode MS" w:hAnsi="Arial Unicode MS" w:cs="Arial Unicode MS"/>
          <w:sz w:val="20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2575F" w:rsidRPr="0000670D">
        <w:rPr>
          <w:rFonts w:ascii="Times New Roman" w:hAnsi="Times New Roman"/>
          <w:b/>
          <w:sz w:val="18"/>
          <w:szCs w:val="18"/>
          <w:vertAlign w:val="superscript"/>
        </w:rPr>
        <w:t>9</w:t>
      </w:r>
      <w:r w:rsidRPr="000067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A82F3F" w:rsidRPr="0000670D">
        <w:rPr>
          <w:rFonts w:ascii="Times New Roman" w:hAnsi="Times New Roman"/>
          <w:bCs/>
          <w:sz w:val="18"/>
          <w:szCs w:val="18"/>
        </w:rPr>
        <w:t>К доходам по ценным бумагам относятся: дивиденды по акциям, выплаты купонного дохода по облигациям, погашение номинальной стоимости облигаций, выплаты по паевым инвестиционным фондам</w:t>
      </w:r>
      <w:r w:rsidR="00944345" w:rsidRPr="0000670D">
        <w:rPr>
          <w:rFonts w:ascii="Times New Roman" w:hAnsi="Times New Roman"/>
          <w:bCs/>
          <w:sz w:val="18"/>
          <w:szCs w:val="18"/>
        </w:rPr>
        <w:t>,</w:t>
      </w:r>
      <w:r w:rsidR="000618DA"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56282D" w:rsidRPr="0000670D">
        <w:rPr>
          <w:rFonts w:ascii="Times New Roman" w:hAnsi="Times New Roman"/>
          <w:bCs/>
          <w:sz w:val="18"/>
          <w:szCs w:val="18"/>
        </w:rPr>
        <w:t>выплаты денежных сре</w:t>
      </w:r>
      <w:proofErr w:type="gramStart"/>
      <w:r w:rsidR="0056282D" w:rsidRPr="0000670D">
        <w:rPr>
          <w:rFonts w:ascii="Times New Roman" w:hAnsi="Times New Roman"/>
          <w:bCs/>
          <w:sz w:val="18"/>
          <w:szCs w:val="18"/>
        </w:rPr>
        <w:t>дств в св</w:t>
      </w:r>
      <w:proofErr w:type="gramEnd"/>
      <w:r w:rsidR="0056282D" w:rsidRPr="0000670D">
        <w:rPr>
          <w:rFonts w:ascii="Times New Roman" w:hAnsi="Times New Roman"/>
          <w:bCs/>
          <w:sz w:val="18"/>
          <w:szCs w:val="18"/>
        </w:rPr>
        <w:t xml:space="preserve">язи </w:t>
      </w:r>
      <w:r w:rsidR="0080109E" w:rsidRPr="0000670D">
        <w:rPr>
          <w:rFonts w:ascii="Times New Roman" w:hAnsi="Times New Roman"/>
          <w:bCs/>
          <w:sz w:val="18"/>
          <w:szCs w:val="18"/>
        </w:rPr>
        <w:t xml:space="preserve">с </w:t>
      </w:r>
      <w:r w:rsidR="0056282D" w:rsidRPr="0000670D">
        <w:rPr>
          <w:rFonts w:ascii="Times New Roman" w:hAnsi="Times New Roman"/>
          <w:bCs/>
          <w:sz w:val="18"/>
          <w:szCs w:val="18"/>
        </w:rPr>
        <w:t xml:space="preserve">выкупом ценных бумаг, </w:t>
      </w:r>
      <w:r w:rsidR="000618DA" w:rsidRPr="0000670D">
        <w:rPr>
          <w:rFonts w:ascii="Times New Roman" w:hAnsi="Times New Roman"/>
          <w:bCs/>
          <w:sz w:val="18"/>
          <w:szCs w:val="18"/>
        </w:rPr>
        <w:t>иные доходы по ценным бумагам</w:t>
      </w:r>
      <w:r w:rsidR="00A82F3F" w:rsidRPr="0000670D">
        <w:rPr>
          <w:rFonts w:ascii="Times New Roman" w:hAnsi="Times New Roman"/>
          <w:bCs/>
          <w:sz w:val="18"/>
          <w:szCs w:val="18"/>
        </w:rPr>
        <w:t xml:space="preserve">. </w:t>
      </w:r>
    </w:p>
    <w:p w:rsidR="0060642F" w:rsidRPr="0000670D" w:rsidRDefault="00A82F3F" w:rsidP="004527F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00670D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82575F" w:rsidRPr="0000670D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Pr="0000670D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60642F" w:rsidRPr="0000670D">
        <w:rPr>
          <w:rFonts w:ascii="Times New Roman" w:hAnsi="Times New Roman"/>
          <w:bCs/>
          <w:sz w:val="18"/>
          <w:szCs w:val="18"/>
        </w:rPr>
        <w:t xml:space="preserve">Комиссия за расчет и перечисление доходов по ценным бумагам по п. </w:t>
      </w:r>
      <w:r w:rsidR="00473D13" w:rsidRPr="0000670D">
        <w:rPr>
          <w:rFonts w:ascii="Times New Roman" w:hAnsi="Times New Roman"/>
          <w:bCs/>
          <w:sz w:val="18"/>
          <w:szCs w:val="18"/>
        </w:rPr>
        <w:t>6</w:t>
      </w:r>
      <w:r w:rsidR="0060642F" w:rsidRPr="0000670D">
        <w:rPr>
          <w:rFonts w:ascii="Times New Roman" w:hAnsi="Times New Roman"/>
          <w:bCs/>
          <w:sz w:val="18"/>
          <w:szCs w:val="18"/>
        </w:rPr>
        <w:t>. настоящего Прейскуранта удерживается в момент перечисления доходов по ценным бумагам.</w:t>
      </w:r>
      <w:r w:rsidR="0056282D" w:rsidRPr="0000670D">
        <w:rPr>
          <w:rFonts w:ascii="Times New Roman" w:hAnsi="Times New Roman"/>
          <w:bCs/>
          <w:sz w:val="18"/>
          <w:szCs w:val="18"/>
        </w:rPr>
        <w:t xml:space="preserve"> Возмещение затрат сторонних контрагентов при перечислении дохода в валюте взимается по факту </w:t>
      </w:r>
      <w:r w:rsidR="00D95C33" w:rsidRPr="0000670D">
        <w:rPr>
          <w:rFonts w:ascii="Times New Roman" w:hAnsi="Times New Roman"/>
          <w:bCs/>
          <w:sz w:val="18"/>
          <w:szCs w:val="18"/>
        </w:rPr>
        <w:t>получения документов на оплату от сторонних контрагентов.</w:t>
      </w:r>
    </w:p>
    <w:p w:rsidR="00EF1E9E" w:rsidRPr="0000670D" w:rsidRDefault="00EF1E9E" w:rsidP="00602115">
      <w:pPr>
        <w:jc w:val="both"/>
        <w:rPr>
          <w:rFonts w:ascii="Times New Roman" w:hAnsi="Times New Roman"/>
          <w:b/>
          <w:sz w:val="18"/>
          <w:szCs w:val="18"/>
          <w:vertAlign w:val="superscript"/>
        </w:rPr>
      </w:pPr>
    </w:p>
    <w:p w:rsidR="00EF1E9E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00670D">
        <w:rPr>
          <w:rFonts w:ascii="Times New Roman" w:hAnsi="Times New Roman"/>
          <w:b/>
          <w:bCs/>
          <w:sz w:val="18"/>
          <w:szCs w:val="18"/>
        </w:rPr>
        <w:t>1</w:t>
      </w:r>
      <w:r w:rsidR="0098561E" w:rsidRPr="0000670D">
        <w:rPr>
          <w:rFonts w:ascii="Times New Roman" w:hAnsi="Times New Roman"/>
          <w:b/>
          <w:bCs/>
          <w:sz w:val="18"/>
          <w:szCs w:val="18"/>
        </w:rPr>
        <w:t>1</w:t>
      </w:r>
      <w:r w:rsidRPr="0000670D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EF1E9E" w:rsidRPr="0000670D">
        <w:rPr>
          <w:rFonts w:ascii="Times New Roman" w:hAnsi="Times New Roman"/>
          <w:b/>
          <w:bCs/>
          <w:sz w:val="18"/>
          <w:szCs w:val="18"/>
        </w:rPr>
        <w:t>Порядок возмещения расходов Депозитария:</w:t>
      </w:r>
    </w:p>
    <w:p w:rsidR="00602115" w:rsidRPr="0000670D" w:rsidRDefault="006B6240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7B75E3" w:rsidRPr="0000670D">
        <w:rPr>
          <w:rFonts w:ascii="Times New Roman" w:hAnsi="Times New Roman"/>
          <w:bCs/>
          <w:sz w:val="18"/>
          <w:szCs w:val="18"/>
        </w:rPr>
        <w:t>1.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="007B75E3"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271FE5" w:rsidRPr="0000670D">
        <w:rPr>
          <w:rFonts w:ascii="Times New Roman" w:hAnsi="Times New Roman"/>
          <w:bCs/>
          <w:sz w:val="18"/>
          <w:szCs w:val="18"/>
        </w:rPr>
        <w:t>Возмещение затрат сторонних организаций (депозитариев, регистраторов</w:t>
      </w:r>
      <w:r w:rsidR="00EB55DC" w:rsidRPr="0000670D">
        <w:rPr>
          <w:rFonts w:ascii="Times New Roman" w:hAnsi="Times New Roman"/>
          <w:bCs/>
          <w:sz w:val="18"/>
          <w:szCs w:val="18"/>
        </w:rPr>
        <w:t>, контрагентов</w:t>
      </w:r>
      <w:r w:rsidR="00271FE5" w:rsidRPr="0000670D">
        <w:rPr>
          <w:rFonts w:ascii="Times New Roman" w:hAnsi="Times New Roman"/>
          <w:bCs/>
          <w:sz w:val="18"/>
          <w:szCs w:val="18"/>
        </w:rPr>
        <w:t xml:space="preserve">) взимается по факту получения Депозитарием документов на оплату от сторонних организаций. </w:t>
      </w:r>
      <w:r w:rsidR="00593F24" w:rsidRPr="0000670D">
        <w:rPr>
          <w:rFonts w:ascii="Times New Roman" w:hAnsi="Times New Roman"/>
          <w:bCs/>
          <w:sz w:val="18"/>
          <w:szCs w:val="18"/>
        </w:rPr>
        <w:t>АО ИФК «</w:t>
      </w:r>
      <w:proofErr w:type="spellStart"/>
      <w:r w:rsidR="00593F24" w:rsidRPr="0000670D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593F24" w:rsidRPr="0000670D">
        <w:rPr>
          <w:rFonts w:ascii="Times New Roman" w:hAnsi="Times New Roman"/>
          <w:bCs/>
          <w:sz w:val="18"/>
          <w:szCs w:val="18"/>
        </w:rPr>
        <w:t xml:space="preserve">» </w:t>
      </w:r>
      <w:r w:rsidR="00271FE5" w:rsidRPr="0000670D">
        <w:rPr>
          <w:rFonts w:ascii="Times New Roman" w:hAnsi="Times New Roman"/>
          <w:bCs/>
          <w:sz w:val="18"/>
          <w:szCs w:val="18"/>
        </w:rPr>
        <w:t>оставляет за собой право взимать затраты сторонних организаций на основании предварительного расчета сумм предстоящих к возмещению расходов согласно тарифам соответствующих организаций.</w:t>
      </w:r>
    </w:p>
    <w:p w:rsidR="00BC4989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2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BC4989" w:rsidRPr="0000670D">
        <w:rPr>
          <w:rFonts w:ascii="Times New Roman" w:hAnsi="Times New Roman"/>
          <w:bCs/>
          <w:sz w:val="18"/>
          <w:szCs w:val="18"/>
        </w:rPr>
        <w:t xml:space="preserve">Оплата услуг, не предусмотренных настоящим Прейскурантом, </w:t>
      </w:r>
      <w:r w:rsidR="008405C1" w:rsidRPr="0000670D">
        <w:rPr>
          <w:rFonts w:ascii="Times New Roman" w:hAnsi="Times New Roman"/>
          <w:bCs/>
          <w:sz w:val="18"/>
          <w:szCs w:val="18"/>
        </w:rPr>
        <w:t>определяет</w:t>
      </w:r>
      <w:r w:rsidR="00BC4989" w:rsidRPr="0000670D">
        <w:rPr>
          <w:rFonts w:ascii="Times New Roman" w:hAnsi="Times New Roman"/>
          <w:bCs/>
          <w:sz w:val="18"/>
          <w:szCs w:val="18"/>
        </w:rPr>
        <w:t>ся допо</w:t>
      </w:r>
      <w:r w:rsidR="00810C16" w:rsidRPr="0000670D">
        <w:rPr>
          <w:rFonts w:ascii="Times New Roman" w:hAnsi="Times New Roman"/>
          <w:bCs/>
          <w:sz w:val="18"/>
          <w:szCs w:val="18"/>
        </w:rPr>
        <w:t xml:space="preserve">лнительными соглашениями </w:t>
      </w:r>
      <w:r w:rsidR="002107D6" w:rsidRPr="0000670D">
        <w:rPr>
          <w:rFonts w:ascii="Times New Roman" w:hAnsi="Times New Roman"/>
          <w:bCs/>
          <w:sz w:val="18"/>
          <w:szCs w:val="18"/>
        </w:rPr>
        <w:t>С</w:t>
      </w:r>
      <w:r w:rsidR="00810C16" w:rsidRPr="0000670D">
        <w:rPr>
          <w:rFonts w:ascii="Times New Roman" w:hAnsi="Times New Roman"/>
          <w:bCs/>
          <w:sz w:val="18"/>
          <w:szCs w:val="18"/>
        </w:rPr>
        <w:t>торон</w:t>
      </w:r>
      <w:r w:rsidR="002107D6" w:rsidRPr="0000670D">
        <w:rPr>
          <w:rFonts w:ascii="Times New Roman" w:hAnsi="Times New Roman"/>
          <w:bCs/>
          <w:sz w:val="18"/>
          <w:szCs w:val="18"/>
        </w:rPr>
        <w:t>.</w:t>
      </w:r>
    </w:p>
    <w:p w:rsidR="00536FFA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3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6B6F29"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536FFA" w:rsidRPr="0000670D">
        <w:rPr>
          <w:rFonts w:ascii="Times New Roman" w:hAnsi="Times New Roman"/>
          <w:bCs/>
          <w:sz w:val="18"/>
          <w:szCs w:val="18"/>
        </w:rPr>
        <w:t>Плата по операциям, проводимы</w:t>
      </w:r>
      <w:r w:rsidR="000A6959" w:rsidRPr="0000670D">
        <w:rPr>
          <w:rFonts w:ascii="Times New Roman" w:hAnsi="Times New Roman"/>
          <w:bCs/>
          <w:sz w:val="18"/>
          <w:szCs w:val="18"/>
        </w:rPr>
        <w:t>м</w:t>
      </w:r>
      <w:r w:rsidR="00536FFA" w:rsidRPr="0000670D">
        <w:rPr>
          <w:rFonts w:ascii="Times New Roman" w:hAnsi="Times New Roman"/>
          <w:bCs/>
          <w:sz w:val="18"/>
          <w:szCs w:val="18"/>
        </w:rPr>
        <w:t xml:space="preserve"> Депозитарием в административном порядке (проведение корпоративных действий, по решению гос</w:t>
      </w:r>
      <w:r w:rsidR="00DE36A5" w:rsidRPr="0000670D">
        <w:rPr>
          <w:rFonts w:ascii="Times New Roman" w:hAnsi="Times New Roman"/>
          <w:bCs/>
          <w:sz w:val="18"/>
          <w:szCs w:val="18"/>
        </w:rPr>
        <w:t>ударственных</w:t>
      </w:r>
      <w:r w:rsidR="00536FFA" w:rsidRPr="0000670D">
        <w:rPr>
          <w:rFonts w:ascii="Times New Roman" w:hAnsi="Times New Roman"/>
          <w:bCs/>
          <w:sz w:val="18"/>
          <w:szCs w:val="18"/>
        </w:rPr>
        <w:t xml:space="preserve"> органов и т.п.) не взимается.</w:t>
      </w:r>
    </w:p>
    <w:p w:rsidR="00D95C33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4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D95C33" w:rsidRPr="0000670D">
        <w:rPr>
          <w:rFonts w:ascii="Times New Roman" w:hAnsi="Times New Roman"/>
          <w:bCs/>
          <w:sz w:val="18"/>
          <w:szCs w:val="18"/>
        </w:rPr>
        <w:t>При расторжении последнего договора счет</w:t>
      </w:r>
      <w:r w:rsidR="00D75D47" w:rsidRPr="0000670D">
        <w:rPr>
          <w:rFonts w:ascii="Times New Roman" w:hAnsi="Times New Roman"/>
          <w:bCs/>
          <w:sz w:val="18"/>
          <w:szCs w:val="18"/>
        </w:rPr>
        <w:t>а</w:t>
      </w:r>
      <w:r w:rsidR="00D95C33" w:rsidRPr="0000670D">
        <w:rPr>
          <w:rFonts w:ascii="Times New Roman" w:hAnsi="Times New Roman"/>
          <w:bCs/>
          <w:sz w:val="18"/>
          <w:szCs w:val="18"/>
        </w:rPr>
        <w:t xml:space="preserve"> Депо, заключенного с Клиентом, и наличии предоплаты за депозитарные услуги в размере </w:t>
      </w:r>
      <w:r w:rsidR="008B5C8C" w:rsidRPr="0000670D">
        <w:rPr>
          <w:rFonts w:ascii="Times New Roman" w:hAnsi="Times New Roman"/>
          <w:bCs/>
          <w:sz w:val="18"/>
          <w:szCs w:val="18"/>
        </w:rPr>
        <w:t xml:space="preserve">до 50 рублей, предоплата списывается в доход </w:t>
      </w:r>
      <w:r w:rsidR="00593F24" w:rsidRPr="0000670D">
        <w:rPr>
          <w:rFonts w:ascii="Times New Roman" w:hAnsi="Times New Roman"/>
          <w:bCs/>
          <w:sz w:val="18"/>
          <w:szCs w:val="18"/>
        </w:rPr>
        <w:t>АО ИФК «</w:t>
      </w:r>
      <w:proofErr w:type="spellStart"/>
      <w:r w:rsidR="00593F24" w:rsidRPr="0000670D">
        <w:rPr>
          <w:rFonts w:ascii="Times New Roman" w:hAnsi="Times New Roman"/>
          <w:bCs/>
          <w:sz w:val="18"/>
          <w:szCs w:val="18"/>
        </w:rPr>
        <w:t>Солид</w:t>
      </w:r>
      <w:proofErr w:type="spellEnd"/>
      <w:r w:rsidR="00593F24" w:rsidRPr="0000670D">
        <w:rPr>
          <w:rFonts w:ascii="Times New Roman" w:hAnsi="Times New Roman"/>
          <w:bCs/>
          <w:sz w:val="18"/>
          <w:szCs w:val="18"/>
        </w:rPr>
        <w:t>»</w:t>
      </w:r>
      <w:r w:rsidR="008B5C8C" w:rsidRPr="0000670D">
        <w:rPr>
          <w:rFonts w:ascii="Times New Roman" w:hAnsi="Times New Roman"/>
          <w:bCs/>
          <w:sz w:val="18"/>
          <w:szCs w:val="18"/>
        </w:rPr>
        <w:t>.</w:t>
      </w:r>
      <w:r w:rsidR="00B72BE7"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D95C33" w:rsidRPr="0000670D">
        <w:rPr>
          <w:rFonts w:ascii="Times New Roman" w:hAnsi="Times New Roman"/>
          <w:bCs/>
          <w:sz w:val="18"/>
          <w:szCs w:val="18"/>
        </w:rPr>
        <w:t xml:space="preserve">Предоплата более 50 рублей </w:t>
      </w:r>
      <w:r w:rsidR="00B72BE7" w:rsidRPr="0000670D">
        <w:rPr>
          <w:rFonts w:ascii="Times New Roman" w:hAnsi="Times New Roman"/>
          <w:bCs/>
          <w:sz w:val="18"/>
          <w:szCs w:val="18"/>
        </w:rPr>
        <w:t>возвращается клиенту на банковские реквизиты, указанные в Анкете Клиента.</w:t>
      </w:r>
    </w:p>
    <w:p w:rsidR="003A1107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5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3A1107" w:rsidRPr="0000670D">
        <w:rPr>
          <w:rFonts w:ascii="Times New Roman" w:hAnsi="Times New Roman"/>
          <w:bCs/>
          <w:sz w:val="18"/>
          <w:szCs w:val="18"/>
        </w:rPr>
        <w:t xml:space="preserve"> Настоящий Прейскурант действует также и после закрытия счетов депо Депонента </w:t>
      </w:r>
      <w:r w:rsidR="00DA465E" w:rsidRPr="0000670D">
        <w:rPr>
          <w:rFonts w:ascii="Times New Roman" w:hAnsi="Times New Roman"/>
          <w:bCs/>
          <w:sz w:val="18"/>
          <w:szCs w:val="18"/>
        </w:rPr>
        <w:t>для</w:t>
      </w:r>
      <w:r w:rsidR="003A1107" w:rsidRPr="0000670D">
        <w:rPr>
          <w:rFonts w:ascii="Times New Roman" w:hAnsi="Times New Roman"/>
          <w:bCs/>
          <w:sz w:val="18"/>
          <w:szCs w:val="18"/>
        </w:rPr>
        <w:t xml:space="preserve"> предоставления информации по </w:t>
      </w:r>
      <w:r w:rsidR="00DA465E" w:rsidRPr="0000670D">
        <w:rPr>
          <w:rFonts w:ascii="Times New Roman" w:hAnsi="Times New Roman"/>
          <w:bCs/>
          <w:sz w:val="18"/>
          <w:szCs w:val="18"/>
        </w:rPr>
        <w:t xml:space="preserve">закрытому </w:t>
      </w:r>
      <w:r w:rsidR="003A1107" w:rsidRPr="0000670D">
        <w:rPr>
          <w:rFonts w:ascii="Times New Roman" w:hAnsi="Times New Roman"/>
          <w:bCs/>
          <w:sz w:val="18"/>
          <w:szCs w:val="18"/>
        </w:rPr>
        <w:t>счету депо.</w:t>
      </w:r>
    </w:p>
    <w:p w:rsidR="005311E3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6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5311E3" w:rsidRPr="0000670D">
        <w:rPr>
          <w:rFonts w:ascii="Times New Roman" w:hAnsi="Times New Roman"/>
          <w:bCs/>
          <w:sz w:val="18"/>
          <w:szCs w:val="18"/>
        </w:rPr>
        <w:t xml:space="preserve"> При назначении Депонентом Попечителя счета депо оплата услуг Депозитария осуществляется Попечителем счета депо.</w:t>
      </w:r>
    </w:p>
    <w:p w:rsidR="00886982" w:rsidRPr="0000670D" w:rsidRDefault="007B75E3" w:rsidP="007B75E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00670D">
        <w:rPr>
          <w:rFonts w:ascii="Times New Roman" w:hAnsi="Times New Roman"/>
          <w:bCs/>
          <w:sz w:val="18"/>
          <w:szCs w:val="18"/>
        </w:rPr>
        <w:t>1</w:t>
      </w:r>
      <w:r w:rsidR="0082575F" w:rsidRPr="0000670D">
        <w:rPr>
          <w:rFonts w:ascii="Times New Roman" w:hAnsi="Times New Roman"/>
          <w:bCs/>
          <w:sz w:val="18"/>
          <w:szCs w:val="18"/>
        </w:rPr>
        <w:t>1</w:t>
      </w:r>
      <w:r w:rsidRPr="0000670D">
        <w:rPr>
          <w:rFonts w:ascii="Times New Roman" w:hAnsi="Times New Roman"/>
          <w:bCs/>
          <w:sz w:val="18"/>
          <w:szCs w:val="18"/>
        </w:rPr>
        <w:t>.</w:t>
      </w:r>
      <w:r w:rsidR="006B6240" w:rsidRPr="0000670D">
        <w:rPr>
          <w:rFonts w:ascii="Times New Roman" w:hAnsi="Times New Roman"/>
          <w:bCs/>
          <w:sz w:val="18"/>
          <w:szCs w:val="18"/>
        </w:rPr>
        <w:t>7</w:t>
      </w:r>
      <w:r w:rsidR="008A5265" w:rsidRPr="0000670D">
        <w:rPr>
          <w:rFonts w:ascii="Times New Roman" w:hAnsi="Times New Roman"/>
          <w:bCs/>
          <w:sz w:val="18"/>
          <w:szCs w:val="18"/>
        </w:rPr>
        <w:t>.</w:t>
      </w:r>
      <w:r w:rsidR="006B6F29" w:rsidRPr="0000670D">
        <w:rPr>
          <w:rFonts w:ascii="Times New Roman" w:hAnsi="Times New Roman"/>
          <w:bCs/>
          <w:sz w:val="18"/>
          <w:szCs w:val="18"/>
        </w:rPr>
        <w:t xml:space="preserve"> </w:t>
      </w:r>
      <w:r w:rsidR="00886982" w:rsidRPr="0000670D">
        <w:rPr>
          <w:rFonts w:ascii="Times New Roman" w:hAnsi="Times New Roman"/>
          <w:bCs/>
          <w:sz w:val="18"/>
          <w:szCs w:val="18"/>
        </w:rPr>
        <w:t xml:space="preserve">Срок действия настоящего Прейскуранта – с </w:t>
      </w:r>
      <w:r w:rsidR="0076790A" w:rsidRPr="0000670D">
        <w:rPr>
          <w:rFonts w:ascii="Times New Roman" w:hAnsi="Times New Roman"/>
          <w:bCs/>
          <w:sz w:val="18"/>
          <w:szCs w:val="18"/>
        </w:rPr>
        <w:t>01</w:t>
      </w:r>
      <w:r w:rsidR="00886982" w:rsidRPr="0000670D">
        <w:rPr>
          <w:rFonts w:ascii="Times New Roman" w:hAnsi="Times New Roman"/>
          <w:bCs/>
          <w:sz w:val="18"/>
          <w:szCs w:val="18"/>
        </w:rPr>
        <w:t>.</w:t>
      </w:r>
      <w:r w:rsidR="001C3CED" w:rsidRPr="0000670D">
        <w:rPr>
          <w:rFonts w:ascii="Times New Roman" w:hAnsi="Times New Roman"/>
          <w:bCs/>
          <w:sz w:val="18"/>
          <w:szCs w:val="18"/>
        </w:rPr>
        <w:t>0</w:t>
      </w:r>
      <w:r w:rsidR="0076790A" w:rsidRPr="0000670D">
        <w:rPr>
          <w:rFonts w:ascii="Times New Roman" w:hAnsi="Times New Roman"/>
          <w:bCs/>
          <w:sz w:val="18"/>
          <w:szCs w:val="18"/>
        </w:rPr>
        <w:t>3</w:t>
      </w:r>
      <w:r w:rsidR="008826BE" w:rsidRPr="0000670D">
        <w:rPr>
          <w:rFonts w:ascii="Times New Roman" w:hAnsi="Times New Roman"/>
          <w:bCs/>
          <w:sz w:val="18"/>
          <w:szCs w:val="18"/>
        </w:rPr>
        <w:t>.20</w:t>
      </w:r>
      <w:r w:rsidR="00512D6B" w:rsidRPr="0000670D">
        <w:rPr>
          <w:rFonts w:ascii="Times New Roman" w:hAnsi="Times New Roman"/>
          <w:bCs/>
          <w:sz w:val="18"/>
          <w:szCs w:val="18"/>
        </w:rPr>
        <w:t>2</w:t>
      </w:r>
      <w:r w:rsidR="0076790A" w:rsidRPr="0000670D">
        <w:rPr>
          <w:rFonts w:ascii="Times New Roman" w:hAnsi="Times New Roman"/>
          <w:bCs/>
          <w:sz w:val="18"/>
          <w:szCs w:val="18"/>
        </w:rPr>
        <w:t>1</w:t>
      </w:r>
      <w:r w:rsidR="007530EC" w:rsidRPr="0000670D">
        <w:rPr>
          <w:rFonts w:ascii="Times New Roman" w:hAnsi="Times New Roman"/>
          <w:bCs/>
          <w:sz w:val="18"/>
          <w:szCs w:val="18"/>
        </w:rPr>
        <w:t>.</w:t>
      </w:r>
    </w:p>
    <w:sectPr w:rsidR="00886982" w:rsidRPr="0000670D" w:rsidSect="00B804C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54" w:right="68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99" w:rsidRDefault="00ED1699">
      <w:r>
        <w:separator/>
      </w:r>
    </w:p>
    <w:p w:rsidR="00ED1699" w:rsidRDefault="00ED1699"/>
  </w:endnote>
  <w:endnote w:type="continuationSeparator" w:id="0">
    <w:p w:rsidR="00ED1699" w:rsidRDefault="00ED1699">
      <w:r>
        <w:continuationSeparator/>
      </w:r>
    </w:p>
    <w:p w:rsidR="00ED1699" w:rsidRDefault="00ED1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00" w:rsidRDefault="00B25500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500" w:rsidRDefault="00B25500" w:rsidP="00B61D45">
    <w:pPr>
      <w:pStyle w:val="a5"/>
      <w:ind w:right="360"/>
    </w:pPr>
  </w:p>
  <w:p w:rsidR="00B25500" w:rsidRDefault="00B25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00" w:rsidRDefault="00B25500" w:rsidP="00B61D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99" w:rsidRDefault="00ED1699">
      <w:r>
        <w:separator/>
      </w:r>
    </w:p>
    <w:p w:rsidR="00ED1699" w:rsidRDefault="00ED1699"/>
  </w:footnote>
  <w:footnote w:type="continuationSeparator" w:id="0">
    <w:p w:rsidR="00ED1699" w:rsidRDefault="00ED1699">
      <w:r>
        <w:continuationSeparator/>
      </w:r>
    </w:p>
    <w:p w:rsidR="00ED1699" w:rsidRDefault="00ED1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42" w:rsidRPr="00204542" w:rsidRDefault="00204542" w:rsidP="0077103D">
    <w:pPr>
      <w:pStyle w:val="2"/>
      <w:pBdr>
        <w:bottom w:val="single" w:sz="4" w:space="1" w:color="auto"/>
      </w:pBdr>
      <w:tabs>
        <w:tab w:val="left" w:pos="9072"/>
        <w:tab w:val="left" w:pos="10632"/>
      </w:tabs>
      <w:spacing w:before="0" w:after="0"/>
      <w:jc w:val="left"/>
      <w:rPr>
        <w:b/>
        <w:i/>
        <w:sz w:val="20"/>
      </w:rPr>
    </w:pPr>
    <w:r w:rsidRPr="00204542">
      <w:rPr>
        <w:b/>
        <w:bCs/>
        <w:i/>
        <w:sz w:val="20"/>
      </w:rPr>
      <w:t>Прейскурант на депозитарные и сопутствующие услуги,</w:t>
    </w:r>
    <w:r w:rsidRPr="00204542">
      <w:rPr>
        <w:b/>
        <w:bCs/>
        <w:i/>
        <w:sz w:val="20"/>
      </w:rPr>
      <w:br/>
      <w:t>оказываемые Депозитарием АО ИФК «</w:t>
    </w:r>
    <w:proofErr w:type="spellStart"/>
    <w:r w:rsidRPr="00204542">
      <w:rPr>
        <w:b/>
        <w:bCs/>
        <w:i/>
        <w:sz w:val="20"/>
      </w:rPr>
      <w:t>Солид</w:t>
    </w:r>
    <w:proofErr w:type="spellEnd"/>
    <w:r w:rsidRPr="00204542">
      <w:rPr>
        <w:b/>
        <w:bCs/>
        <w:i/>
        <w:sz w:val="20"/>
      </w:rPr>
      <w:t>»</w:t>
    </w:r>
    <w:sdt>
      <w:sdtPr>
        <w:rPr>
          <w:b/>
          <w:i/>
          <w:sz w:val="20"/>
        </w:rPr>
        <w:id w:val="-419257402"/>
        <w:docPartObj>
          <w:docPartGallery w:val="Page Numbers (Top of Page)"/>
          <w:docPartUnique/>
        </w:docPartObj>
      </w:sdtPr>
      <w:sdtEndPr/>
      <w:sdtContent>
        <w:r w:rsidR="0077103D">
          <w:rPr>
            <w:b/>
            <w:i/>
            <w:sz w:val="20"/>
          </w:rPr>
          <w:tab/>
        </w:r>
        <w:r w:rsidRPr="00204542">
          <w:rPr>
            <w:b/>
            <w:i/>
            <w:sz w:val="20"/>
          </w:rPr>
          <w:fldChar w:fldCharType="begin"/>
        </w:r>
        <w:r w:rsidRPr="00204542">
          <w:rPr>
            <w:b/>
            <w:i/>
            <w:sz w:val="20"/>
          </w:rPr>
          <w:instrText>PAGE   \* MERGEFORMAT</w:instrText>
        </w:r>
        <w:r w:rsidRPr="00204542">
          <w:rPr>
            <w:b/>
            <w:i/>
            <w:sz w:val="20"/>
          </w:rPr>
          <w:fldChar w:fldCharType="separate"/>
        </w:r>
        <w:r w:rsidR="0000670D">
          <w:rPr>
            <w:b/>
            <w:i/>
            <w:noProof/>
            <w:sz w:val="20"/>
          </w:rPr>
          <w:t>6</w:t>
        </w:r>
        <w:r w:rsidRPr="00204542">
          <w:rPr>
            <w:b/>
            <w:i/>
            <w:sz w:val="20"/>
          </w:rPr>
          <w:fldChar w:fldCharType="end"/>
        </w:r>
      </w:sdtContent>
    </w:sdt>
  </w:p>
  <w:p w:rsidR="00204542" w:rsidRPr="00204542" w:rsidRDefault="00204542">
    <w:pPr>
      <w:pStyle w:val="a8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42" w:rsidRDefault="00204542">
    <w:pPr>
      <w:pStyle w:val="a8"/>
    </w:pPr>
    <w:r>
      <w:rPr>
        <w:noProof/>
      </w:rPr>
      <w:drawing>
        <wp:inline distT="0" distB="0" distL="0" distR="0" wp14:anchorId="3591C80F" wp14:editId="34B4B740">
          <wp:extent cx="1588770" cy="13773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94"/>
    <w:multiLevelType w:val="hybridMultilevel"/>
    <w:tmpl w:val="56EAD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6FB"/>
    <w:multiLevelType w:val="hybridMultilevel"/>
    <w:tmpl w:val="B9C8A238"/>
    <w:lvl w:ilvl="0" w:tplc="44B8DAC0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03017664"/>
    <w:multiLevelType w:val="hybridMultilevel"/>
    <w:tmpl w:val="771CD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E66"/>
    <w:multiLevelType w:val="hybridMultilevel"/>
    <w:tmpl w:val="42D8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762"/>
    <w:multiLevelType w:val="hybridMultilevel"/>
    <w:tmpl w:val="B23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416"/>
    <w:multiLevelType w:val="hybridMultilevel"/>
    <w:tmpl w:val="175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97C"/>
    <w:multiLevelType w:val="hybridMultilevel"/>
    <w:tmpl w:val="CF7AF9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247B4C6C"/>
    <w:multiLevelType w:val="hybridMultilevel"/>
    <w:tmpl w:val="119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C8"/>
    <w:multiLevelType w:val="hybridMultilevel"/>
    <w:tmpl w:val="38B2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27F80"/>
    <w:multiLevelType w:val="hybridMultilevel"/>
    <w:tmpl w:val="D37A65C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2BD83FC8"/>
    <w:multiLevelType w:val="hybridMultilevel"/>
    <w:tmpl w:val="2C9E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4541"/>
    <w:multiLevelType w:val="multilevel"/>
    <w:tmpl w:val="2C9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902"/>
    <w:multiLevelType w:val="hybridMultilevel"/>
    <w:tmpl w:val="698480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D1C16E4"/>
    <w:multiLevelType w:val="hybridMultilevel"/>
    <w:tmpl w:val="D484520A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14BDC"/>
    <w:multiLevelType w:val="hybridMultilevel"/>
    <w:tmpl w:val="DC6C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D195A"/>
    <w:multiLevelType w:val="hybridMultilevel"/>
    <w:tmpl w:val="AA2E29C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4B647ED"/>
    <w:multiLevelType w:val="singleLevel"/>
    <w:tmpl w:val="18221028"/>
    <w:lvl w:ilvl="0">
      <w:start w:val="1"/>
      <w:numFmt w:val="decimal"/>
      <w:pStyle w:val="1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5D65680"/>
    <w:multiLevelType w:val="hybridMultilevel"/>
    <w:tmpl w:val="09E87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A6B21C0"/>
    <w:multiLevelType w:val="hybridMultilevel"/>
    <w:tmpl w:val="D4C8AA1A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A1510F"/>
    <w:multiLevelType w:val="hybridMultilevel"/>
    <w:tmpl w:val="03AE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7502A5"/>
    <w:multiLevelType w:val="hybridMultilevel"/>
    <w:tmpl w:val="65527C34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A18CA"/>
    <w:multiLevelType w:val="hybridMultilevel"/>
    <w:tmpl w:val="54BACF34"/>
    <w:lvl w:ilvl="0" w:tplc="D5C44EB2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2">
    <w:nsid w:val="732D4DCA"/>
    <w:multiLevelType w:val="hybridMultilevel"/>
    <w:tmpl w:val="C4D8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15D0B"/>
    <w:multiLevelType w:val="hybridMultilevel"/>
    <w:tmpl w:val="6CD21B1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A015B33"/>
    <w:multiLevelType w:val="hybridMultilevel"/>
    <w:tmpl w:val="E69482E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7EB23B2F"/>
    <w:multiLevelType w:val="hybridMultilevel"/>
    <w:tmpl w:val="B360100C"/>
    <w:lvl w:ilvl="0" w:tplc="14402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18"/>
  </w:num>
  <w:num w:numId="5">
    <w:abstractNumId w:val="9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22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25"/>
  </w:num>
  <w:num w:numId="26">
    <w:abstractNumId w:val="16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20FF"/>
    <w:rsid w:val="0000443A"/>
    <w:rsid w:val="00004949"/>
    <w:rsid w:val="00004CD3"/>
    <w:rsid w:val="00005ACD"/>
    <w:rsid w:val="000061E1"/>
    <w:rsid w:val="0000670D"/>
    <w:rsid w:val="00012DC3"/>
    <w:rsid w:val="000133DE"/>
    <w:rsid w:val="0001592C"/>
    <w:rsid w:val="00024E7D"/>
    <w:rsid w:val="00026910"/>
    <w:rsid w:val="00030AEA"/>
    <w:rsid w:val="000318B5"/>
    <w:rsid w:val="00034E14"/>
    <w:rsid w:val="00046F5B"/>
    <w:rsid w:val="0005095A"/>
    <w:rsid w:val="00055190"/>
    <w:rsid w:val="0005646F"/>
    <w:rsid w:val="000618DA"/>
    <w:rsid w:val="00063651"/>
    <w:rsid w:val="00066A8B"/>
    <w:rsid w:val="000705D7"/>
    <w:rsid w:val="000714EF"/>
    <w:rsid w:val="00075E0F"/>
    <w:rsid w:val="00075F05"/>
    <w:rsid w:val="00076580"/>
    <w:rsid w:val="00082DF2"/>
    <w:rsid w:val="00084612"/>
    <w:rsid w:val="00090158"/>
    <w:rsid w:val="00093617"/>
    <w:rsid w:val="00094664"/>
    <w:rsid w:val="000951A4"/>
    <w:rsid w:val="000952D8"/>
    <w:rsid w:val="00095F33"/>
    <w:rsid w:val="000A121B"/>
    <w:rsid w:val="000A1871"/>
    <w:rsid w:val="000A3D42"/>
    <w:rsid w:val="000A4CC0"/>
    <w:rsid w:val="000A60E4"/>
    <w:rsid w:val="000A6959"/>
    <w:rsid w:val="000B00FE"/>
    <w:rsid w:val="000B1FF8"/>
    <w:rsid w:val="000B338D"/>
    <w:rsid w:val="000B6681"/>
    <w:rsid w:val="000B6D58"/>
    <w:rsid w:val="000C023E"/>
    <w:rsid w:val="000D35B6"/>
    <w:rsid w:val="000D488A"/>
    <w:rsid w:val="000D59F0"/>
    <w:rsid w:val="000D660D"/>
    <w:rsid w:val="000E0414"/>
    <w:rsid w:val="000E21D7"/>
    <w:rsid w:val="000F0ACD"/>
    <w:rsid w:val="000F11C8"/>
    <w:rsid w:val="000F5894"/>
    <w:rsid w:val="000F61A4"/>
    <w:rsid w:val="000F791A"/>
    <w:rsid w:val="00100742"/>
    <w:rsid w:val="00100755"/>
    <w:rsid w:val="001013C4"/>
    <w:rsid w:val="00102DD8"/>
    <w:rsid w:val="00103CED"/>
    <w:rsid w:val="00106DFC"/>
    <w:rsid w:val="00111DB0"/>
    <w:rsid w:val="00112CD2"/>
    <w:rsid w:val="0011746E"/>
    <w:rsid w:val="00121055"/>
    <w:rsid w:val="0012150D"/>
    <w:rsid w:val="00122B53"/>
    <w:rsid w:val="001313E9"/>
    <w:rsid w:val="00141166"/>
    <w:rsid w:val="00143E76"/>
    <w:rsid w:val="00144D51"/>
    <w:rsid w:val="00147161"/>
    <w:rsid w:val="001506DE"/>
    <w:rsid w:val="00151ABA"/>
    <w:rsid w:val="0015296A"/>
    <w:rsid w:val="001530EF"/>
    <w:rsid w:val="001539A1"/>
    <w:rsid w:val="00160ADC"/>
    <w:rsid w:val="001612AB"/>
    <w:rsid w:val="00162F4C"/>
    <w:rsid w:val="00163B04"/>
    <w:rsid w:val="00166114"/>
    <w:rsid w:val="00166836"/>
    <w:rsid w:val="00174FD4"/>
    <w:rsid w:val="0017798B"/>
    <w:rsid w:val="00177E8E"/>
    <w:rsid w:val="00180452"/>
    <w:rsid w:val="00180E8B"/>
    <w:rsid w:val="00181550"/>
    <w:rsid w:val="00184BE9"/>
    <w:rsid w:val="00186903"/>
    <w:rsid w:val="00190BB5"/>
    <w:rsid w:val="0019299B"/>
    <w:rsid w:val="00195D49"/>
    <w:rsid w:val="00196E2C"/>
    <w:rsid w:val="001A32D4"/>
    <w:rsid w:val="001A63C4"/>
    <w:rsid w:val="001A688C"/>
    <w:rsid w:val="001B0ECC"/>
    <w:rsid w:val="001B3949"/>
    <w:rsid w:val="001B66AB"/>
    <w:rsid w:val="001B7885"/>
    <w:rsid w:val="001C148F"/>
    <w:rsid w:val="001C178E"/>
    <w:rsid w:val="001C3A9A"/>
    <w:rsid w:val="001C3CED"/>
    <w:rsid w:val="001C4025"/>
    <w:rsid w:val="001C48BF"/>
    <w:rsid w:val="001C65F8"/>
    <w:rsid w:val="001C6D81"/>
    <w:rsid w:val="001C718E"/>
    <w:rsid w:val="001D03E6"/>
    <w:rsid w:val="001D0EA6"/>
    <w:rsid w:val="001D1B64"/>
    <w:rsid w:val="001D48E6"/>
    <w:rsid w:val="001D57F9"/>
    <w:rsid w:val="001D5AE0"/>
    <w:rsid w:val="001D6151"/>
    <w:rsid w:val="001D789F"/>
    <w:rsid w:val="001D7934"/>
    <w:rsid w:val="001E1454"/>
    <w:rsid w:val="001E2F46"/>
    <w:rsid w:val="001E5F24"/>
    <w:rsid w:val="001E626D"/>
    <w:rsid w:val="001E7B04"/>
    <w:rsid w:val="001F1A5A"/>
    <w:rsid w:val="001F389E"/>
    <w:rsid w:val="001F5C98"/>
    <w:rsid w:val="00202366"/>
    <w:rsid w:val="00203BD7"/>
    <w:rsid w:val="00204542"/>
    <w:rsid w:val="00210043"/>
    <w:rsid w:val="002100EB"/>
    <w:rsid w:val="002107D6"/>
    <w:rsid w:val="00213D64"/>
    <w:rsid w:val="002166C8"/>
    <w:rsid w:val="002231B6"/>
    <w:rsid w:val="0022646F"/>
    <w:rsid w:val="00232740"/>
    <w:rsid w:val="002333CF"/>
    <w:rsid w:val="00233876"/>
    <w:rsid w:val="00234157"/>
    <w:rsid w:val="00237316"/>
    <w:rsid w:val="0024002A"/>
    <w:rsid w:val="00245719"/>
    <w:rsid w:val="00250CDB"/>
    <w:rsid w:val="00252600"/>
    <w:rsid w:val="0025343A"/>
    <w:rsid w:val="002537BF"/>
    <w:rsid w:val="002579FB"/>
    <w:rsid w:val="00264634"/>
    <w:rsid w:val="00265C95"/>
    <w:rsid w:val="00265CD6"/>
    <w:rsid w:val="00267E43"/>
    <w:rsid w:val="00271FE5"/>
    <w:rsid w:val="00273030"/>
    <w:rsid w:val="00274DDE"/>
    <w:rsid w:val="0027565E"/>
    <w:rsid w:val="00280C80"/>
    <w:rsid w:val="00286CA8"/>
    <w:rsid w:val="00286CD5"/>
    <w:rsid w:val="002878BA"/>
    <w:rsid w:val="002901BA"/>
    <w:rsid w:val="00293FFD"/>
    <w:rsid w:val="00296854"/>
    <w:rsid w:val="002A2638"/>
    <w:rsid w:val="002A6A04"/>
    <w:rsid w:val="002B3C85"/>
    <w:rsid w:val="002B6048"/>
    <w:rsid w:val="002B74CC"/>
    <w:rsid w:val="002B7ADF"/>
    <w:rsid w:val="002C0A18"/>
    <w:rsid w:val="002C1790"/>
    <w:rsid w:val="002C2739"/>
    <w:rsid w:val="002C358F"/>
    <w:rsid w:val="002C6935"/>
    <w:rsid w:val="002D0B7C"/>
    <w:rsid w:val="002D2E34"/>
    <w:rsid w:val="002D49F5"/>
    <w:rsid w:val="002E25B4"/>
    <w:rsid w:val="002E2F32"/>
    <w:rsid w:val="002E3BB3"/>
    <w:rsid w:val="002E3D07"/>
    <w:rsid w:val="002E5F48"/>
    <w:rsid w:val="002E7390"/>
    <w:rsid w:val="002F024C"/>
    <w:rsid w:val="002F0688"/>
    <w:rsid w:val="002F1FC3"/>
    <w:rsid w:val="002F562F"/>
    <w:rsid w:val="002F5EF3"/>
    <w:rsid w:val="003022EC"/>
    <w:rsid w:val="00302A44"/>
    <w:rsid w:val="003059A8"/>
    <w:rsid w:val="00306F0D"/>
    <w:rsid w:val="003075C2"/>
    <w:rsid w:val="00311928"/>
    <w:rsid w:val="00314A58"/>
    <w:rsid w:val="0031534E"/>
    <w:rsid w:val="003177D2"/>
    <w:rsid w:val="00317BE5"/>
    <w:rsid w:val="0032252A"/>
    <w:rsid w:val="003232D2"/>
    <w:rsid w:val="00324D9E"/>
    <w:rsid w:val="00325D59"/>
    <w:rsid w:val="00326F4C"/>
    <w:rsid w:val="00331BFF"/>
    <w:rsid w:val="00332424"/>
    <w:rsid w:val="0033253C"/>
    <w:rsid w:val="0033700E"/>
    <w:rsid w:val="0034146C"/>
    <w:rsid w:val="003437D9"/>
    <w:rsid w:val="00345D5B"/>
    <w:rsid w:val="00346AB9"/>
    <w:rsid w:val="00346B50"/>
    <w:rsid w:val="0034736F"/>
    <w:rsid w:val="00350677"/>
    <w:rsid w:val="00357703"/>
    <w:rsid w:val="0035783E"/>
    <w:rsid w:val="00360701"/>
    <w:rsid w:val="003610DD"/>
    <w:rsid w:val="00365075"/>
    <w:rsid w:val="0036569B"/>
    <w:rsid w:val="00367444"/>
    <w:rsid w:val="0037206D"/>
    <w:rsid w:val="003731F2"/>
    <w:rsid w:val="00376515"/>
    <w:rsid w:val="00381624"/>
    <w:rsid w:val="00381AFF"/>
    <w:rsid w:val="0038350F"/>
    <w:rsid w:val="00383ABC"/>
    <w:rsid w:val="0038782A"/>
    <w:rsid w:val="00390034"/>
    <w:rsid w:val="003936DE"/>
    <w:rsid w:val="00394380"/>
    <w:rsid w:val="00397582"/>
    <w:rsid w:val="003A070F"/>
    <w:rsid w:val="003A0C0E"/>
    <w:rsid w:val="003A1107"/>
    <w:rsid w:val="003A1A4E"/>
    <w:rsid w:val="003A23E2"/>
    <w:rsid w:val="003A4C69"/>
    <w:rsid w:val="003B01D0"/>
    <w:rsid w:val="003B1D7B"/>
    <w:rsid w:val="003B3B35"/>
    <w:rsid w:val="003B3CFC"/>
    <w:rsid w:val="003B58BB"/>
    <w:rsid w:val="003B7CFD"/>
    <w:rsid w:val="003C0251"/>
    <w:rsid w:val="003C4077"/>
    <w:rsid w:val="003C4A5D"/>
    <w:rsid w:val="003C57E2"/>
    <w:rsid w:val="003C7188"/>
    <w:rsid w:val="003C7BD4"/>
    <w:rsid w:val="003D0B83"/>
    <w:rsid w:val="003D190D"/>
    <w:rsid w:val="003D3EDD"/>
    <w:rsid w:val="003D51D8"/>
    <w:rsid w:val="003D6531"/>
    <w:rsid w:val="003D704F"/>
    <w:rsid w:val="003E0499"/>
    <w:rsid w:val="003E0F06"/>
    <w:rsid w:val="003E2566"/>
    <w:rsid w:val="003E3198"/>
    <w:rsid w:val="003E6139"/>
    <w:rsid w:val="003E7857"/>
    <w:rsid w:val="003F4366"/>
    <w:rsid w:val="003F7002"/>
    <w:rsid w:val="0040397D"/>
    <w:rsid w:val="004071F7"/>
    <w:rsid w:val="00411D0D"/>
    <w:rsid w:val="00413BE7"/>
    <w:rsid w:val="00416030"/>
    <w:rsid w:val="00422732"/>
    <w:rsid w:val="00422AE6"/>
    <w:rsid w:val="00422D1F"/>
    <w:rsid w:val="00431EB3"/>
    <w:rsid w:val="00432A50"/>
    <w:rsid w:val="00436894"/>
    <w:rsid w:val="004373F5"/>
    <w:rsid w:val="00440FB4"/>
    <w:rsid w:val="00442A0D"/>
    <w:rsid w:val="004444AA"/>
    <w:rsid w:val="00445C06"/>
    <w:rsid w:val="00451A2E"/>
    <w:rsid w:val="004527F3"/>
    <w:rsid w:val="00454163"/>
    <w:rsid w:val="00455E97"/>
    <w:rsid w:val="00456315"/>
    <w:rsid w:val="00456CFE"/>
    <w:rsid w:val="00457173"/>
    <w:rsid w:val="0045786B"/>
    <w:rsid w:val="00457A23"/>
    <w:rsid w:val="00460B54"/>
    <w:rsid w:val="00462154"/>
    <w:rsid w:val="00462E88"/>
    <w:rsid w:val="00462F4F"/>
    <w:rsid w:val="00470EB4"/>
    <w:rsid w:val="004714DB"/>
    <w:rsid w:val="00471843"/>
    <w:rsid w:val="0047244F"/>
    <w:rsid w:val="00473318"/>
    <w:rsid w:val="00473D13"/>
    <w:rsid w:val="00474E15"/>
    <w:rsid w:val="004762E9"/>
    <w:rsid w:val="0048119F"/>
    <w:rsid w:val="0048166A"/>
    <w:rsid w:val="00481ADB"/>
    <w:rsid w:val="00493001"/>
    <w:rsid w:val="00493CFC"/>
    <w:rsid w:val="00495605"/>
    <w:rsid w:val="004962A2"/>
    <w:rsid w:val="004A1333"/>
    <w:rsid w:val="004A41D1"/>
    <w:rsid w:val="004B1304"/>
    <w:rsid w:val="004B16ED"/>
    <w:rsid w:val="004B30D5"/>
    <w:rsid w:val="004B334C"/>
    <w:rsid w:val="004B662A"/>
    <w:rsid w:val="004B66C9"/>
    <w:rsid w:val="004B727D"/>
    <w:rsid w:val="004C249C"/>
    <w:rsid w:val="004C50B2"/>
    <w:rsid w:val="004C513C"/>
    <w:rsid w:val="004C5642"/>
    <w:rsid w:val="004C59CE"/>
    <w:rsid w:val="004C5A75"/>
    <w:rsid w:val="004D25FF"/>
    <w:rsid w:val="004D6ECC"/>
    <w:rsid w:val="004E053C"/>
    <w:rsid w:val="004E7311"/>
    <w:rsid w:val="004F00E7"/>
    <w:rsid w:val="004F0DEA"/>
    <w:rsid w:val="004F2629"/>
    <w:rsid w:val="004F5FCE"/>
    <w:rsid w:val="004F70B7"/>
    <w:rsid w:val="00503EBD"/>
    <w:rsid w:val="00510C8B"/>
    <w:rsid w:val="005126B2"/>
    <w:rsid w:val="00512D6B"/>
    <w:rsid w:val="005136EF"/>
    <w:rsid w:val="005149C0"/>
    <w:rsid w:val="00515121"/>
    <w:rsid w:val="00515603"/>
    <w:rsid w:val="005156A5"/>
    <w:rsid w:val="00515B62"/>
    <w:rsid w:val="005169E8"/>
    <w:rsid w:val="00520928"/>
    <w:rsid w:val="00522695"/>
    <w:rsid w:val="0052334D"/>
    <w:rsid w:val="005272D0"/>
    <w:rsid w:val="0052797A"/>
    <w:rsid w:val="00530B84"/>
    <w:rsid w:val="005311E3"/>
    <w:rsid w:val="005316CD"/>
    <w:rsid w:val="005359C8"/>
    <w:rsid w:val="00535DA2"/>
    <w:rsid w:val="00536955"/>
    <w:rsid w:val="00536FFA"/>
    <w:rsid w:val="00543DB6"/>
    <w:rsid w:val="005466E5"/>
    <w:rsid w:val="00551523"/>
    <w:rsid w:val="00556EC9"/>
    <w:rsid w:val="00557E7B"/>
    <w:rsid w:val="00560B6B"/>
    <w:rsid w:val="00561860"/>
    <w:rsid w:val="0056282D"/>
    <w:rsid w:val="0056521F"/>
    <w:rsid w:val="0056755E"/>
    <w:rsid w:val="005704D3"/>
    <w:rsid w:val="00580183"/>
    <w:rsid w:val="005826AA"/>
    <w:rsid w:val="00583B93"/>
    <w:rsid w:val="00584A06"/>
    <w:rsid w:val="00584D61"/>
    <w:rsid w:val="00585C85"/>
    <w:rsid w:val="00586C4C"/>
    <w:rsid w:val="0058766E"/>
    <w:rsid w:val="00590103"/>
    <w:rsid w:val="00590C6D"/>
    <w:rsid w:val="00590F58"/>
    <w:rsid w:val="00591F39"/>
    <w:rsid w:val="00593F24"/>
    <w:rsid w:val="005950F1"/>
    <w:rsid w:val="00596AC6"/>
    <w:rsid w:val="00596C6B"/>
    <w:rsid w:val="005A04C1"/>
    <w:rsid w:val="005A75A0"/>
    <w:rsid w:val="005A7E9F"/>
    <w:rsid w:val="005B6D61"/>
    <w:rsid w:val="005C0B9C"/>
    <w:rsid w:val="005C0D61"/>
    <w:rsid w:val="005C17AF"/>
    <w:rsid w:val="005C2D9C"/>
    <w:rsid w:val="005C628D"/>
    <w:rsid w:val="005D7356"/>
    <w:rsid w:val="005E1103"/>
    <w:rsid w:val="005E1192"/>
    <w:rsid w:val="005E4E14"/>
    <w:rsid w:val="005E556F"/>
    <w:rsid w:val="005E5B0D"/>
    <w:rsid w:val="005F4D1B"/>
    <w:rsid w:val="005F69C2"/>
    <w:rsid w:val="00602115"/>
    <w:rsid w:val="0060642F"/>
    <w:rsid w:val="00610156"/>
    <w:rsid w:val="00620638"/>
    <w:rsid w:val="00620A84"/>
    <w:rsid w:val="00624C05"/>
    <w:rsid w:val="006277E1"/>
    <w:rsid w:val="00630BC3"/>
    <w:rsid w:val="00630CA6"/>
    <w:rsid w:val="0064333E"/>
    <w:rsid w:val="0064335E"/>
    <w:rsid w:val="0064426D"/>
    <w:rsid w:val="006455C3"/>
    <w:rsid w:val="006547AD"/>
    <w:rsid w:val="00654EBB"/>
    <w:rsid w:val="00655436"/>
    <w:rsid w:val="00656FD4"/>
    <w:rsid w:val="00657DE3"/>
    <w:rsid w:val="00667304"/>
    <w:rsid w:val="006706BE"/>
    <w:rsid w:val="00672276"/>
    <w:rsid w:val="00675D8B"/>
    <w:rsid w:val="00677F24"/>
    <w:rsid w:val="006825C3"/>
    <w:rsid w:val="006825D9"/>
    <w:rsid w:val="006839DC"/>
    <w:rsid w:val="0068632A"/>
    <w:rsid w:val="00686F10"/>
    <w:rsid w:val="006879EB"/>
    <w:rsid w:val="00690094"/>
    <w:rsid w:val="00694AB7"/>
    <w:rsid w:val="006A117D"/>
    <w:rsid w:val="006A28D9"/>
    <w:rsid w:val="006A359C"/>
    <w:rsid w:val="006A46BA"/>
    <w:rsid w:val="006A5C1C"/>
    <w:rsid w:val="006A6046"/>
    <w:rsid w:val="006B6240"/>
    <w:rsid w:val="006B6F29"/>
    <w:rsid w:val="006B7553"/>
    <w:rsid w:val="006B7E36"/>
    <w:rsid w:val="006C4CC3"/>
    <w:rsid w:val="006D1258"/>
    <w:rsid w:val="006D1D64"/>
    <w:rsid w:val="006D2C10"/>
    <w:rsid w:val="006D3142"/>
    <w:rsid w:val="006D3352"/>
    <w:rsid w:val="006D4DA0"/>
    <w:rsid w:val="006E1226"/>
    <w:rsid w:val="006E1F08"/>
    <w:rsid w:val="006E2925"/>
    <w:rsid w:val="006E530F"/>
    <w:rsid w:val="006F14A7"/>
    <w:rsid w:val="006F425B"/>
    <w:rsid w:val="006F4B96"/>
    <w:rsid w:val="00700AB4"/>
    <w:rsid w:val="00702C88"/>
    <w:rsid w:val="007045C0"/>
    <w:rsid w:val="00706932"/>
    <w:rsid w:val="007101E7"/>
    <w:rsid w:val="0071121F"/>
    <w:rsid w:val="00711800"/>
    <w:rsid w:val="007167AD"/>
    <w:rsid w:val="00721946"/>
    <w:rsid w:val="00723492"/>
    <w:rsid w:val="0072378B"/>
    <w:rsid w:val="007253CE"/>
    <w:rsid w:val="00726D6D"/>
    <w:rsid w:val="00734196"/>
    <w:rsid w:val="007363B8"/>
    <w:rsid w:val="00737866"/>
    <w:rsid w:val="00745362"/>
    <w:rsid w:val="00747917"/>
    <w:rsid w:val="0075259B"/>
    <w:rsid w:val="00752FA2"/>
    <w:rsid w:val="007530EC"/>
    <w:rsid w:val="007534B9"/>
    <w:rsid w:val="007616B7"/>
    <w:rsid w:val="00764237"/>
    <w:rsid w:val="0076571C"/>
    <w:rsid w:val="0076790A"/>
    <w:rsid w:val="0077103D"/>
    <w:rsid w:val="00772758"/>
    <w:rsid w:val="00775A11"/>
    <w:rsid w:val="00776488"/>
    <w:rsid w:val="007865C0"/>
    <w:rsid w:val="00786C99"/>
    <w:rsid w:val="007903D1"/>
    <w:rsid w:val="00797591"/>
    <w:rsid w:val="007A000C"/>
    <w:rsid w:val="007A342B"/>
    <w:rsid w:val="007A3982"/>
    <w:rsid w:val="007A513F"/>
    <w:rsid w:val="007A57C9"/>
    <w:rsid w:val="007A7668"/>
    <w:rsid w:val="007B2599"/>
    <w:rsid w:val="007B2BC6"/>
    <w:rsid w:val="007B5374"/>
    <w:rsid w:val="007B6D8F"/>
    <w:rsid w:val="007B75E3"/>
    <w:rsid w:val="007C593B"/>
    <w:rsid w:val="007C7590"/>
    <w:rsid w:val="007D04B7"/>
    <w:rsid w:val="007D2C0E"/>
    <w:rsid w:val="007D35DE"/>
    <w:rsid w:val="007D4B32"/>
    <w:rsid w:val="007D5574"/>
    <w:rsid w:val="007E1E6D"/>
    <w:rsid w:val="007F0468"/>
    <w:rsid w:val="007F29D6"/>
    <w:rsid w:val="007F315A"/>
    <w:rsid w:val="007F6473"/>
    <w:rsid w:val="0080109E"/>
    <w:rsid w:val="00801F8F"/>
    <w:rsid w:val="0080470E"/>
    <w:rsid w:val="00804B0B"/>
    <w:rsid w:val="00804C11"/>
    <w:rsid w:val="00805A4B"/>
    <w:rsid w:val="00806B0F"/>
    <w:rsid w:val="008102FD"/>
    <w:rsid w:val="00810C16"/>
    <w:rsid w:val="008135B8"/>
    <w:rsid w:val="00821241"/>
    <w:rsid w:val="00822C09"/>
    <w:rsid w:val="0082575F"/>
    <w:rsid w:val="00826B8C"/>
    <w:rsid w:val="008300D3"/>
    <w:rsid w:val="00831D96"/>
    <w:rsid w:val="00832AA8"/>
    <w:rsid w:val="00834E2C"/>
    <w:rsid w:val="00837EDD"/>
    <w:rsid w:val="008405C1"/>
    <w:rsid w:val="00842F75"/>
    <w:rsid w:val="00854EFF"/>
    <w:rsid w:val="00855FFC"/>
    <w:rsid w:val="008563CE"/>
    <w:rsid w:val="00861662"/>
    <w:rsid w:val="00867186"/>
    <w:rsid w:val="00873F1C"/>
    <w:rsid w:val="00875C21"/>
    <w:rsid w:val="008826BE"/>
    <w:rsid w:val="00882B51"/>
    <w:rsid w:val="00882F81"/>
    <w:rsid w:val="00883D57"/>
    <w:rsid w:val="00886982"/>
    <w:rsid w:val="00887FCC"/>
    <w:rsid w:val="00890A1F"/>
    <w:rsid w:val="00897D78"/>
    <w:rsid w:val="008A1302"/>
    <w:rsid w:val="008A13CD"/>
    <w:rsid w:val="008A5265"/>
    <w:rsid w:val="008A6723"/>
    <w:rsid w:val="008A7EE0"/>
    <w:rsid w:val="008B2789"/>
    <w:rsid w:val="008B4428"/>
    <w:rsid w:val="008B4BE5"/>
    <w:rsid w:val="008B4F67"/>
    <w:rsid w:val="008B5A46"/>
    <w:rsid w:val="008B5C8C"/>
    <w:rsid w:val="008C3857"/>
    <w:rsid w:val="008C495B"/>
    <w:rsid w:val="008C7194"/>
    <w:rsid w:val="008C77EC"/>
    <w:rsid w:val="008C78AF"/>
    <w:rsid w:val="008D0079"/>
    <w:rsid w:val="008D1CDB"/>
    <w:rsid w:val="008D2B2D"/>
    <w:rsid w:val="008D30D7"/>
    <w:rsid w:val="008D5992"/>
    <w:rsid w:val="008D5A96"/>
    <w:rsid w:val="008E0122"/>
    <w:rsid w:val="008E0901"/>
    <w:rsid w:val="008E0FC9"/>
    <w:rsid w:val="008E12A3"/>
    <w:rsid w:val="008E1397"/>
    <w:rsid w:val="008E3B44"/>
    <w:rsid w:val="008E44D4"/>
    <w:rsid w:val="008F07C7"/>
    <w:rsid w:val="008F2061"/>
    <w:rsid w:val="008F4DB2"/>
    <w:rsid w:val="008F55D1"/>
    <w:rsid w:val="008F5758"/>
    <w:rsid w:val="008F5AF3"/>
    <w:rsid w:val="008F7A9E"/>
    <w:rsid w:val="0090108C"/>
    <w:rsid w:val="00901B7B"/>
    <w:rsid w:val="00901C4C"/>
    <w:rsid w:val="009020A1"/>
    <w:rsid w:val="00906F48"/>
    <w:rsid w:val="00911694"/>
    <w:rsid w:val="00920607"/>
    <w:rsid w:val="00923C7B"/>
    <w:rsid w:val="00924B11"/>
    <w:rsid w:val="0092582C"/>
    <w:rsid w:val="009311EC"/>
    <w:rsid w:val="009327FF"/>
    <w:rsid w:val="00935AF9"/>
    <w:rsid w:val="0094191C"/>
    <w:rsid w:val="00941C1D"/>
    <w:rsid w:val="00943E9E"/>
    <w:rsid w:val="00944345"/>
    <w:rsid w:val="00944D18"/>
    <w:rsid w:val="00947C53"/>
    <w:rsid w:val="00951D04"/>
    <w:rsid w:val="00956891"/>
    <w:rsid w:val="009579B2"/>
    <w:rsid w:val="00957EBF"/>
    <w:rsid w:val="0096251F"/>
    <w:rsid w:val="00963946"/>
    <w:rsid w:val="00966FC0"/>
    <w:rsid w:val="009673DF"/>
    <w:rsid w:val="00967FDD"/>
    <w:rsid w:val="009740EC"/>
    <w:rsid w:val="009825F0"/>
    <w:rsid w:val="0098561E"/>
    <w:rsid w:val="009946B5"/>
    <w:rsid w:val="009958BD"/>
    <w:rsid w:val="00996307"/>
    <w:rsid w:val="00996F56"/>
    <w:rsid w:val="00997423"/>
    <w:rsid w:val="009A1AE0"/>
    <w:rsid w:val="009B64F2"/>
    <w:rsid w:val="009C2C06"/>
    <w:rsid w:val="009C5567"/>
    <w:rsid w:val="009C6370"/>
    <w:rsid w:val="009D0C38"/>
    <w:rsid w:val="009D1FBF"/>
    <w:rsid w:val="009D2B7B"/>
    <w:rsid w:val="009D3429"/>
    <w:rsid w:val="009D3CAB"/>
    <w:rsid w:val="009D6BB6"/>
    <w:rsid w:val="009E0862"/>
    <w:rsid w:val="009E6308"/>
    <w:rsid w:val="009F0E70"/>
    <w:rsid w:val="009F12BA"/>
    <w:rsid w:val="009F5C57"/>
    <w:rsid w:val="009F5E89"/>
    <w:rsid w:val="009F7257"/>
    <w:rsid w:val="00A00713"/>
    <w:rsid w:val="00A011DF"/>
    <w:rsid w:val="00A01A20"/>
    <w:rsid w:val="00A0257A"/>
    <w:rsid w:val="00A0375F"/>
    <w:rsid w:val="00A03E32"/>
    <w:rsid w:val="00A04EEF"/>
    <w:rsid w:val="00A10D33"/>
    <w:rsid w:val="00A12604"/>
    <w:rsid w:val="00A1273D"/>
    <w:rsid w:val="00A140DC"/>
    <w:rsid w:val="00A14395"/>
    <w:rsid w:val="00A14ECF"/>
    <w:rsid w:val="00A16B84"/>
    <w:rsid w:val="00A20B87"/>
    <w:rsid w:val="00A222BE"/>
    <w:rsid w:val="00A346C9"/>
    <w:rsid w:val="00A357BF"/>
    <w:rsid w:val="00A35B1F"/>
    <w:rsid w:val="00A35FC8"/>
    <w:rsid w:val="00A41474"/>
    <w:rsid w:val="00A41CD2"/>
    <w:rsid w:val="00A428A3"/>
    <w:rsid w:val="00A43EB0"/>
    <w:rsid w:val="00A55B76"/>
    <w:rsid w:val="00A56D00"/>
    <w:rsid w:val="00A609D5"/>
    <w:rsid w:val="00A72A3F"/>
    <w:rsid w:val="00A74F1F"/>
    <w:rsid w:val="00A8155A"/>
    <w:rsid w:val="00A82F3F"/>
    <w:rsid w:val="00A84E5E"/>
    <w:rsid w:val="00A87A52"/>
    <w:rsid w:val="00A87CA0"/>
    <w:rsid w:val="00A90ED6"/>
    <w:rsid w:val="00A91885"/>
    <w:rsid w:val="00A94438"/>
    <w:rsid w:val="00A97FF2"/>
    <w:rsid w:val="00AA0C32"/>
    <w:rsid w:val="00AA4EE4"/>
    <w:rsid w:val="00AA52EF"/>
    <w:rsid w:val="00AA5371"/>
    <w:rsid w:val="00AA6D7B"/>
    <w:rsid w:val="00AA7540"/>
    <w:rsid w:val="00AB3D60"/>
    <w:rsid w:val="00AB3E7F"/>
    <w:rsid w:val="00AB3F9A"/>
    <w:rsid w:val="00AB6088"/>
    <w:rsid w:val="00AC0734"/>
    <w:rsid w:val="00AC5406"/>
    <w:rsid w:val="00AC60E8"/>
    <w:rsid w:val="00AC6AF2"/>
    <w:rsid w:val="00AD033E"/>
    <w:rsid w:val="00AD2112"/>
    <w:rsid w:val="00AD44F5"/>
    <w:rsid w:val="00AD6380"/>
    <w:rsid w:val="00AE0376"/>
    <w:rsid w:val="00AE3391"/>
    <w:rsid w:val="00AE5B22"/>
    <w:rsid w:val="00AF10A0"/>
    <w:rsid w:val="00AF10E1"/>
    <w:rsid w:val="00AF4CB4"/>
    <w:rsid w:val="00AF7274"/>
    <w:rsid w:val="00B0591F"/>
    <w:rsid w:val="00B111E4"/>
    <w:rsid w:val="00B1145C"/>
    <w:rsid w:val="00B128B5"/>
    <w:rsid w:val="00B12D9C"/>
    <w:rsid w:val="00B1374E"/>
    <w:rsid w:val="00B139FD"/>
    <w:rsid w:val="00B14483"/>
    <w:rsid w:val="00B16DEE"/>
    <w:rsid w:val="00B16FF2"/>
    <w:rsid w:val="00B20FB6"/>
    <w:rsid w:val="00B21223"/>
    <w:rsid w:val="00B22C4B"/>
    <w:rsid w:val="00B2338F"/>
    <w:rsid w:val="00B23CE0"/>
    <w:rsid w:val="00B25500"/>
    <w:rsid w:val="00B259FD"/>
    <w:rsid w:val="00B3185F"/>
    <w:rsid w:val="00B336AC"/>
    <w:rsid w:val="00B34B43"/>
    <w:rsid w:val="00B40AF9"/>
    <w:rsid w:val="00B4634C"/>
    <w:rsid w:val="00B473D5"/>
    <w:rsid w:val="00B53AC5"/>
    <w:rsid w:val="00B56D40"/>
    <w:rsid w:val="00B601FE"/>
    <w:rsid w:val="00B61B22"/>
    <w:rsid w:val="00B61D45"/>
    <w:rsid w:val="00B63C55"/>
    <w:rsid w:val="00B63D70"/>
    <w:rsid w:val="00B66790"/>
    <w:rsid w:val="00B72BE7"/>
    <w:rsid w:val="00B804CE"/>
    <w:rsid w:val="00B81A6D"/>
    <w:rsid w:val="00B855CA"/>
    <w:rsid w:val="00B855D5"/>
    <w:rsid w:val="00B95192"/>
    <w:rsid w:val="00B96A19"/>
    <w:rsid w:val="00BA581E"/>
    <w:rsid w:val="00BA584F"/>
    <w:rsid w:val="00BA6BB0"/>
    <w:rsid w:val="00BA6D6F"/>
    <w:rsid w:val="00BA72DF"/>
    <w:rsid w:val="00BB1A0B"/>
    <w:rsid w:val="00BB223D"/>
    <w:rsid w:val="00BB252F"/>
    <w:rsid w:val="00BB32B4"/>
    <w:rsid w:val="00BB3962"/>
    <w:rsid w:val="00BB78E5"/>
    <w:rsid w:val="00BC0242"/>
    <w:rsid w:val="00BC35D8"/>
    <w:rsid w:val="00BC4989"/>
    <w:rsid w:val="00BC6BA6"/>
    <w:rsid w:val="00BC75D7"/>
    <w:rsid w:val="00BC7FED"/>
    <w:rsid w:val="00BD3633"/>
    <w:rsid w:val="00BE5092"/>
    <w:rsid w:val="00BE6C70"/>
    <w:rsid w:val="00BE7B76"/>
    <w:rsid w:val="00BF1276"/>
    <w:rsid w:val="00BF4252"/>
    <w:rsid w:val="00BF57FE"/>
    <w:rsid w:val="00BF71B5"/>
    <w:rsid w:val="00C0527F"/>
    <w:rsid w:val="00C06807"/>
    <w:rsid w:val="00C07EB3"/>
    <w:rsid w:val="00C1004E"/>
    <w:rsid w:val="00C11020"/>
    <w:rsid w:val="00C1102B"/>
    <w:rsid w:val="00C13D73"/>
    <w:rsid w:val="00C22F3F"/>
    <w:rsid w:val="00C24F7C"/>
    <w:rsid w:val="00C32F0C"/>
    <w:rsid w:val="00C338E9"/>
    <w:rsid w:val="00C34148"/>
    <w:rsid w:val="00C35624"/>
    <w:rsid w:val="00C3645E"/>
    <w:rsid w:val="00C41E23"/>
    <w:rsid w:val="00C42F21"/>
    <w:rsid w:val="00C5164C"/>
    <w:rsid w:val="00C52C58"/>
    <w:rsid w:val="00C536BD"/>
    <w:rsid w:val="00C53A55"/>
    <w:rsid w:val="00C561C4"/>
    <w:rsid w:val="00C577CE"/>
    <w:rsid w:val="00C606D8"/>
    <w:rsid w:val="00C6296D"/>
    <w:rsid w:val="00C63AEF"/>
    <w:rsid w:val="00C64CCF"/>
    <w:rsid w:val="00C64D92"/>
    <w:rsid w:val="00C658F4"/>
    <w:rsid w:val="00C674BB"/>
    <w:rsid w:val="00C76A38"/>
    <w:rsid w:val="00C77EE8"/>
    <w:rsid w:val="00C80891"/>
    <w:rsid w:val="00C8093B"/>
    <w:rsid w:val="00C8111F"/>
    <w:rsid w:val="00C8230E"/>
    <w:rsid w:val="00C828DA"/>
    <w:rsid w:val="00C8753B"/>
    <w:rsid w:val="00C91041"/>
    <w:rsid w:val="00C94AD3"/>
    <w:rsid w:val="00C9578D"/>
    <w:rsid w:val="00C962CA"/>
    <w:rsid w:val="00C977C6"/>
    <w:rsid w:val="00C97F9B"/>
    <w:rsid w:val="00CA1188"/>
    <w:rsid w:val="00CA1C30"/>
    <w:rsid w:val="00CA3515"/>
    <w:rsid w:val="00CB0384"/>
    <w:rsid w:val="00CB1711"/>
    <w:rsid w:val="00CB1AAE"/>
    <w:rsid w:val="00CB215F"/>
    <w:rsid w:val="00CB27C4"/>
    <w:rsid w:val="00CB2FC0"/>
    <w:rsid w:val="00CB39EC"/>
    <w:rsid w:val="00CB4A56"/>
    <w:rsid w:val="00CB4F6D"/>
    <w:rsid w:val="00CC2AF6"/>
    <w:rsid w:val="00CC2D4F"/>
    <w:rsid w:val="00CC3284"/>
    <w:rsid w:val="00CC3451"/>
    <w:rsid w:val="00CE56E4"/>
    <w:rsid w:val="00CE6C03"/>
    <w:rsid w:val="00CF16A9"/>
    <w:rsid w:val="00CF6CCB"/>
    <w:rsid w:val="00D011F5"/>
    <w:rsid w:val="00D01622"/>
    <w:rsid w:val="00D02570"/>
    <w:rsid w:val="00D03C52"/>
    <w:rsid w:val="00D04E77"/>
    <w:rsid w:val="00D068B9"/>
    <w:rsid w:val="00D06E3F"/>
    <w:rsid w:val="00D0761F"/>
    <w:rsid w:val="00D102F6"/>
    <w:rsid w:val="00D108E7"/>
    <w:rsid w:val="00D10B70"/>
    <w:rsid w:val="00D120CF"/>
    <w:rsid w:val="00D13963"/>
    <w:rsid w:val="00D16DC3"/>
    <w:rsid w:val="00D207D5"/>
    <w:rsid w:val="00D20BC4"/>
    <w:rsid w:val="00D23417"/>
    <w:rsid w:val="00D3078E"/>
    <w:rsid w:val="00D30A03"/>
    <w:rsid w:val="00D31E6E"/>
    <w:rsid w:val="00D31FC5"/>
    <w:rsid w:val="00D32557"/>
    <w:rsid w:val="00D351C9"/>
    <w:rsid w:val="00D358BE"/>
    <w:rsid w:val="00D419E0"/>
    <w:rsid w:val="00D41F65"/>
    <w:rsid w:val="00D53B52"/>
    <w:rsid w:val="00D53EE6"/>
    <w:rsid w:val="00D5447B"/>
    <w:rsid w:val="00D60EB9"/>
    <w:rsid w:val="00D61973"/>
    <w:rsid w:val="00D62094"/>
    <w:rsid w:val="00D64C86"/>
    <w:rsid w:val="00D70ABC"/>
    <w:rsid w:val="00D72780"/>
    <w:rsid w:val="00D7287B"/>
    <w:rsid w:val="00D73F00"/>
    <w:rsid w:val="00D75C23"/>
    <w:rsid w:val="00D75D47"/>
    <w:rsid w:val="00D76859"/>
    <w:rsid w:val="00D831AC"/>
    <w:rsid w:val="00D83586"/>
    <w:rsid w:val="00D8440A"/>
    <w:rsid w:val="00D84BEE"/>
    <w:rsid w:val="00D8577A"/>
    <w:rsid w:val="00D87673"/>
    <w:rsid w:val="00D900BC"/>
    <w:rsid w:val="00D90850"/>
    <w:rsid w:val="00D9227E"/>
    <w:rsid w:val="00D947C0"/>
    <w:rsid w:val="00D95C33"/>
    <w:rsid w:val="00D97CF1"/>
    <w:rsid w:val="00DA0D1F"/>
    <w:rsid w:val="00DA1EE7"/>
    <w:rsid w:val="00DA31D7"/>
    <w:rsid w:val="00DA465E"/>
    <w:rsid w:val="00DA67C4"/>
    <w:rsid w:val="00DA76B6"/>
    <w:rsid w:val="00DA7EF1"/>
    <w:rsid w:val="00DB1B4F"/>
    <w:rsid w:val="00DB30E2"/>
    <w:rsid w:val="00DB69E8"/>
    <w:rsid w:val="00DB74F1"/>
    <w:rsid w:val="00DB74FB"/>
    <w:rsid w:val="00DB7672"/>
    <w:rsid w:val="00DC04F2"/>
    <w:rsid w:val="00DC1981"/>
    <w:rsid w:val="00DC212E"/>
    <w:rsid w:val="00DC2EBC"/>
    <w:rsid w:val="00DC55BC"/>
    <w:rsid w:val="00DC6520"/>
    <w:rsid w:val="00DD2681"/>
    <w:rsid w:val="00DD27E8"/>
    <w:rsid w:val="00DE36A5"/>
    <w:rsid w:val="00DE5040"/>
    <w:rsid w:val="00DE73AB"/>
    <w:rsid w:val="00DF0239"/>
    <w:rsid w:val="00DF18A2"/>
    <w:rsid w:val="00DF1EA4"/>
    <w:rsid w:val="00DF5408"/>
    <w:rsid w:val="00DF5680"/>
    <w:rsid w:val="00DF591E"/>
    <w:rsid w:val="00E0125D"/>
    <w:rsid w:val="00E046E4"/>
    <w:rsid w:val="00E0564A"/>
    <w:rsid w:val="00E05D33"/>
    <w:rsid w:val="00E10130"/>
    <w:rsid w:val="00E1531E"/>
    <w:rsid w:val="00E1634D"/>
    <w:rsid w:val="00E16A6A"/>
    <w:rsid w:val="00E22AC7"/>
    <w:rsid w:val="00E23F0C"/>
    <w:rsid w:val="00E253AE"/>
    <w:rsid w:val="00E258B6"/>
    <w:rsid w:val="00E26198"/>
    <w:rsid w:val="00E26DB2"/>
    <w:rsid w:val="00E314A6"/>
    <w:rsid w:val="00E32D66"/>
    <w:rsid w:val="00E32E40"/>
    <w:rsid w:val="00E341C6"/>
    <w:rsid w:val="00E4045B"/>
    <w:rsid w:val="00E41147"/>
    <w:rsid w:val="00E4389C"/>
    <w:rsid w:val="00E451B2"/>
    <w:rsid w:val="00E479F9"/>
    <w:rsid w:val="00E47D7B"/>
    <w:rsid w:val="00E52F55"/>
    <w:rsid w:val="00E55DC4"/>
    <w:rsid w:val="00E56B7F"/>
    <w:rsid w:val="00E60B96"/>
    <w:rsid w:val="00E628B7"/>
    <w:rsid w:val="00E6475F"/>
    <w:rsid w:val="00E653A0"/>
    <w:rsid w:val="00E66711"/>
    <w:rsid w:val="00E72988"/>
    <w:rsid w:val="00E74F31"/>
    <w:rsid w:val="00E76DA6"/>
    <w:rsid w:val="00E822FA"/>
    <w:rsid w:val="00E8268D"/>
    <w:rsid w:val="00E82A6A"/>
    <w:rsid w:val="00E83A98"/>
    <w:rsid w:val="00E86D6A"/>
    <w:rsid w:val="00E879E2"/>
    <w:rsid w:val="00E93C51"/>
    <w:rsid w:val="00E9509B"/>
    <w:rsid w:val="00E961B5"/>
    <w:rsid w:val="00EA06EA"/>
    <w:rsid w:val="00EA0C1B"/>
    <w:rsid w:val="00EA0E75"/>
    <w:rsid w:val="00EA16B7"/>
    <w:rsid w:val="00EB0A12"/>
    <w:rsid w:val="00EB0F78"/>
    <w:rsid w:val="00EB3BBC"/>
    <w:rsid w:val="00EB55DC"/>
    <w:rsid w:val="00EC07DC"/>
    <w:rsid w:val="00EC5AF9"/>
    <w:rsid w:val="00EC7E0A"/>
    <w:rsid w:val="00ED1699"/>
    <w:rsid w:val="00ED69FD"/>
    <w:rsid w:val="00ED70FC"/>
    <w:rsid w:val="00EE16AF"/>
    <w:rsid w:val="00EE2B9A"/>
    <w:rsid w:val="00EE3CEB"/>
    <w:rsid w:val="00EE4673"/>
    <w:rsid w:val="00EE4749"/>
    <w:rsid w:val="00EE50DA"/>
    <w:rsid w:val="00EE655B"/>
    <w:rsid w:val="00EE6FED"/>
    <w:rsid w:val="00EF00B6"/>
    <w:rsid w:val="00EF0D17"/>
    <w:rsid w:val="00EF1B9E"/>
    <w:rsid w:val="00EF1E9E"/>
    <w:rsid w:val="00EF2819"/>
    <w:rsid w:val="00EF5C3E"/>
    <w:rsid w:val="00F0111E"/>
    <w:rsid w:val="00F02017"/>
    <w:rsid w:val="00F02A75"/>
    <w:rsid w:val="00F05847"/>
    <w:rsid w:val="00F0662D"/>
    <w:rsid w:val="00F069F8"/>
    <w:rsid w:val="00F06FC6"/>
    <w:rsid w:val="00F075C2"/>
    <w:rsid w:val="00F079DF"/>
    <w:rsid w:val="00F07CEB"/>
    <w:rsid w:val="00F07E27"/>
    <w:rsid w:val="00F105EB"/>
    <w:rsid w:val="00F10EBD"/>
    <w:rsid w:val="00F10EEA"/>
    <w:rsid w:val="00F11412"/>
    <w:rsid w:val="00F11DE8"/>
    <w:rsid w:val="00F12C45"/>
    <w:rsid w:val="00F1615D"/>
    <w:rsid w:val="00F1651F"/>
    <w:rsid w:val="00F23D9D"/>
    <w:rsid w:val="00F24DC9"/>
    <w:rsid w:val="00F268E6"/>
    <w:rsid w:val="00F35FD9"/>
    <w:rsid w:val="00F361D4"/>
    <w:rsid w:val="00F437C1"/>
    <w:rsid w:val="00F43AD2"/>
    <w:rsid w:val="00F457A9"/>
    <w:rsid w:val="00F46CF7"/>
    <w:rsid w:val="00F47277"/>
    <w:rsid w:val="00F511AE"/>
    <w:rsid w:val="00F51B74"/>
    <w:rsid w:val="00F54241"/>
    <w:rsid w:val="00F55206"/>
    <w:rsid w:val="00F55773"/>
    <w:rsid w:val="00F610C3"/>
    <w:rsid w:val="00F6264C"/>
    <w:rsid w:val="00F62D10"/>
    <w:rsid w:val="00F708C4"/>
    <w:rsid w:val="00F72DA0"/>
    <w:rsid w:val="00F7319F"/>
    <w:rsid w:val="00F742CE"/>
    <w:rsid w:val="00F75E09"/>
    <w:rsid w:val="00F771F5"/>
    <w:rsid w:val="00F77E3F"/>
    <w:rsid w:val="00F8080B"/>
    <w:rsid w:val="00F827E8"/>
    <w:rsid w:val="00F9079D"/>
    <w:rsid w:val="00F907DA"/>
    <w:rsid w:val="00F95729"/>
    <w:rsid w:val="00FA024D"/>
    <w:rsid w:val="00FA19BC"/>
    <w:rsid w:val="00FA32A8"/>
    <w:rsid w:val="00FA607D"/>
    <w:rsid w:val="00FA7CBF"/>
    <w:rsid w:val="00FB3EBD"/>
    <w:rsid w:val="00FC0A52"/>
    <w:rsid w:val="00FC0BBC"/>
    <w:rsid w:val="00FC5571"/>
    <w:rsid w:val="00FC5D32"/>
    <w:rsid w:val="00FC609C"/>
    <w:rsid w:val="00FC6913"/>
    <w:rsid w:val="00FC6E49"/>
    <w:rsid w:val="00FC7833"/>
    <w:rsid w:val="00FC7B61"/>
    <w:rsid w:val="00FD3EF0"/>
    <w:rsid w:val="00FD6982"/>
    <w:rsid w:val="00FD7102"/>
    <w:rsid w:val="00FE0FE5"/>
    <w:rsid w:val="00FE6B5B"/>
    <w:rsid w:val="00FE71CE"/>
    <w:rsid w:val="00FE739B"/>
    <w:rsid w:val="00FF105F"/>
    <w:rsid w:val="00FF401E"/>
    <w:rsid w:val="00FF4646"/>
    <w:rsid w:val="00FF5702"/>
    <w:rsid w:val="00FF6061"/>
    <w:rsid w:val="00FF658C"/>
    <w:rsid w:val="00FF78F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paragraph" w:styleId="ab">
    <w:name w:val="No Spacing"/>
    <w:uiPriority w:val="1"/>
    <w:qFormat/>
    <w:rsid w:val="002045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454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rsid w:val="00274DD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34E14"/>
    <w:pPr>
      <w:ind w:left="720"/>
      <w:contextualSpacing/>
    </w:pPr>
  </w:style>
  <w:style w:type="paragraph" w:styleId="ab">
    <w:name w:val="No Spacing"/>
    <w:uiPriority w:val="1"/>
    <w:qFormat/>
    <w:rsid w:val="002045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45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74DB-E4A6-444B-8E84-AE5D250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от</vt:lpstr>
    </vt:vector>
  </TitlesOfParts>
  <Company>solid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от</dc:title>
  <dc:creator>barkovskaya</dc:creator>
  <cp:lastModifiedBy>Муравьева Наталья</cp:lastModifiedBy>
  <cp:revision>4</cp:revision>
  <cp:lastPrinted>2021-02-04T15:15:00Z</cp:lastPrinted>
  <dcterms:created xsi:type="dcterms:W3CDTF">2021-02-10T08:30:00Z</dcterms:created>
  <dcterms:modified xsi:type="dcterms:W3CDTF">2021-02-11T12:44:00Z</dcterms:modified>
</cp:coreProperties>
</file>