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653" w:rsidRPr="003D4875" w:rsidRDefault="00614653" w:rsidP="00CB52B6">
      <w:pPr>
        <w:pStyle w:val="1"/>
        <w:shd w:val="clear" w:color="auto" w:fill="auto"/>
        <w:ind w:left="0" w:right="0" w:firstLine="0"/>
        <w:jc w:val="center"/>
        <w:rPr>
          <w:rFonts w:ascii="Times New Roman" w:hAnsi="Times New Roman" w:cs="Times New Roman"/>
          <w:color w:val="63002F"/>
          <w:sz w:val="22"/>
          <w:szCs w:val="22"/>
        </w:rPr>
      </w:pPr>
      <w:r w:rsidRPr="003D4875">
        <w:rPr>
          <w:rFonts w:ascii="Times New Roman" w:hAnsi="Times New Roman" w:cs="Times New Roman"/>
          <w:color w:val="63002F"/>
          <w:sz w:val="22"/>
          <w:szCs w:val="22"/>
        </w:rPr>
        <w:t>ДЕКЛАРАЦИЯ О РИСКАХ</w:t>
      </w:r>
    </w:p>
    <w:p w:rsidR="00C506E2" w:rsidRPr="003D4875" w:rsidRDefault="00972DD1" w:rsidP="00C506E2">
      <w:pPr>
        <w:shd w:val="clear" w:color="auto" w:fill="auto"/>
        <w:autoSpaceDE w:val="0"/>
        <w:autoSpaceDN w:val="0"/>
        <w:adjustRightInd w:val="0"/>
        <w:spacing w:line="240" w:lineRule="auto"/>
        <w:ind w:left="0" w:right="0" w:firstLine="540"/>
        <w:rPr>
          <w:rFonts w:eastAsiaTheme="minorHAnsi"/>
          <w:szCs w:val="22"/>
        </w:rPr>
      </w:pPr>
      <w:r w:rsidRPr="003D4875">
        <w:rPr>
          <w:szCs w:val="22"/>
        </w:rPr>
        <w:t xml:space="preserve">Настоящая Декларация предоставляется для ознакомления и подписания в связи с желанием Клиента осуществлять операции на финансовых рынках. Главная цель настоящей Декларации – дать общее, но возможно более полное представление о рисках, возникающих у Клиента в связи с подачей поручений Компании в рамках заключаемого Клиентом и Компанией Договора об оказании услуг на финансовых рынках. </w:t>
      </w:r>
      <w:proofErr w:type="gramStart"/>
      <w:r w:rsidR="00C506E2" w:rsidRPr="003D4875">
        <w:rPr>
          <w:szCs w:val="22"/>
        </w:rPr>
        <w:t xml:space="preserve">Настоящей Декларацией Компания </w:t>
      </w:r>
      <w:r w:rsidR="00EE0F63" w:rsidRPr="003D4875">
        <w:rPr>
          <w:szCs w:val="22"/>
        </w:rPr>
        <w:t xml:space="preserve">также </w:t>
      </w:r>
      <w:r w:rsidR="00C506E2" w:rsidRPr="003D4875">
        <w:rPr>
          <w:szCs w:val="22"/>
        </w:rPr>
        <w:t>информирует Клиента о специфике взаимодействия Клиента и Брокера (в зависимости от контекста под Брокером понимается п</w:t>
      </w:r>
      <w:r w:rsidR="00C506E2" w:rsidRPr="003D4875">
        <w:rPr>
          <w:rFonts w:eastAsiaTheme="minorHAnsi"/>
          <w:szCs w:val="22"/>
        </w:rPr>
        <w:t xml:space="preserve">рофессиональный участник рынка ценных бумаг, осуществляющий брокерскую деятельность, либо Компания, </w:t>
      </w:r>
      <w:r w:rsidR="00EE0F63" w:rsidRPr="003D4875">
        <w:rPr>
          <w:rFonts w:eastAsiaTheme="minorHAnsi"/>
          <w:szCs w:val="22"/>
        </w:rPr>
        <w:t xml:space="preserve">оказывающая Клиенту услуги брокера в рамках заключенного с Клиентом Договора, либо Компания, оказывающая Клиенту иные услуги </w:t>
      </w:r>
      <w:r w:rsidR="00C506E2" w:rsidRPr="003D4875">
        <w:rPr>
          <w:rFonts w:eastAsiaTheme="minorHAnsi"/>
          <w:szCs w:val="22"/>
        </w:rPr>
        <w:t xml:space="preserve"> </w:t>
      </w:r>
      <w:r w:rsidR="00EE0F63" w:rsidRPr="003D4875">
        <w:rPr>
          <w:rFonts w:eastAsiaTheme="minorHAnsi"/>
          <w:szCs w:val="22"/>
        </w:rPr>
        <w:t>в рамках заключенного с Клиентом Договора), в рамках которого могут проявиться указанные в настоящей Декларации</w:t>
      </w:r>
      <w:proofErr w:type="gramEnd"/>
      <w:r w:rsidR="00EE0F63" w:rsidRPr="003D4875">
        <w:rPr>
          <w:rFonts w:eastAsiaTheme="minorHAnsi"/>
          <w:szCs w:val="22"/>
        </w:rPr>
        <w:t xml:space="preserve"> риски.</w:t>
      </w:r>
    </w:p>
    <w:p w:rsidR="00972DD1" w:rsidRPr="003D4875" w:rsidRDefault="00C506E2" w:rsidP="00972DD1">
      <w:pPr>
        <w:rPr>
          <w:szCs w:val="22"/>
        </w:rPr>
      </w:pPr>
      <w:r w:rsidRPr="003D4875">
        <w:rPr>
          <w:szCs w:val="22"/>
        </w:rPr>
        <w:t xml:space="preserve"> </w:t>
      </w:r>
    </w:p>
    <w:p w:rsidR="00614653" w:rsidRPr="003D4875" w:rsidRDefault="00A7731F" w:rsidP="008C02DF">
      <w:pPr>
        <w:pStyle w:val="1"/>
        <w:shd w:val="clear" w:color="auto" w:fill="auto"/>
        <w:spacing w:after="240"/>
        <w:ind w:left="0" w:right="0" w:firstLine="0"/>
        <w:jc w:val="center"/>
        <w:rPr>
          <w:rFonts w:ascii="Times New Roman" w:hAnsi="Times New Roman" w:cs="Times New Roman"/>
          <w:color w:val="63002F"/>
          <w:sz w:val="22"/>
          <w:szCs w:val="22"/>
        </w:rPr>
      </w:pPr>
      <w:r w:rsidRPr="003D4875">
        <w:rPr>
          <w:rFonts w:ascii="Times New Roman" w:hAnsi="Times New Roman" w:cs="Times New Roman"/>
          <w:color w:val="63002F"/>
          <w:sz w:val="22"/>
          <w:szCs w:val="22"/>
        </w:rPr>
        <w:t>Общие риски</w:t>
      </w:r>
      <w:r w:rsidR="00614653" w:rsidRPr="003D4875">
        <w:rPr>
          <w:rFonts w:ascii="Times New Roman" w:hAnsi="Times New Roman" w:cs="Times New Roman"/>
          <w:color w:val="63002F"/>
          <w:sz w:val="22"/>
          <w:szCs w:val="22"/>
        </w:rPr>
        <w:t xml:space="preserve"> операций на рынке ценных бумаг</w:t>
      </w:r>
    </w:p>
    <w:p w:rsidR="00614653" w:rsidRPr="003D4875" w:rsidRDefault="00614653" w:rsidP="00614653">
      <w:pPr>
        <w:rPr>
          <w:szCs w:val="22"/>
        </w:rPr>
      </w:pPr>
      <w:r w:rsidRPr="003D4875">
        <w:rPr>
          <w:szCs w:val="22"/>
        </w:rPr>
        <w:t xml:space="preserve">Риск представляет собой возможность отрицательного отклонения результата деятельности от ожидаемых и плановых значений при осуществлении финансовых операций в связи с возможным негативным влиянием разного рода факторов. </w:t>
      </w:r>
    </w:p>
    <w:p w:rsidR="00614653" w:rsidRPr="003D4875" w:rsidRDefault="00614653" w:rsidP="00614653">
      <w:pPr>
        <w:rPr>
          <w:szCs w:val="22"/>
        </w:rPr>
      </w:pPr>
      <w:r w:rsidRPr="003D4875">
        <w:rPr>
          <w:szCs w:val="22"/>
        </w:rPr>
        <w:t>На финансовых рынках (рынок ценных бумаг, срочный рынок, валютный рынок и пр.) Клиент сталкивается с различными видами рисков. Ниже перечислены некоторые из них:</w:t>
      </w:r>
    </w:p>
    <w:p w:rsidR="00614653" w:rsidRPr="003D4875" w:rsidRDefault="00614653" w:rsidP="00B435AD">
      <w:pPr>
        <w:pStyle w:val="a8"/>
        <w:numPr>
          <w:ilvl w:val="0"/>
          <w:numId w:val="30"/>
        </w:numPr>
        <w:ind w:left="0" w:right="0" w:firstLine="227"/>
        <w:rPr>
          <w:szCs w:val="22"/>
        </w:rPr>
      </w:pPr>
      <w:r w:rsidRPr="003D4875">
        <w:rPr>
          <w:b/>
          <w:i/>
          <w:szCs w:val="22"/>
        </w:rPr>
        <w:t>Системный риск</w:t>
      </w:r>
      <w:r w:rsidRPr="003D4875">
        <w:rPr>
          <w:i/>
          <w:szCs w:val="22"/>
        </w:rPr>
        <w:t xml:space="preserve"> </w:t>
      </w:r>
      <w:r w:rsidR="00B435AD" w:rsidRPr="003D4875">
        <w:rPr>
          <w:i/>
          <w:szCs w:val="22"/>
        </w:rPr>
        <w:t>–</w:t>
      </w:r>
      <w:r w:rsidRPr="003D4875">
        <w:rPr>
          <w:i/>
          <w:szCs w:val="22"/>
        </w:rPr>
        <w:t xml:space="preserve"> </w:t>
      </w:r>
      <w:r w:rsidR="00DD0C86" w:rsidRPr="003D4875">
        <w:rPr>
          <w:szCs w:val="22"/>
        </w:rPr>
        <w:t>связан</w:t>
      </w:r>
      <w:r w:rsidRPr="003D4875">
        <w:rPr>
          <w:szCs w:val="22"/>
        </w:rPr>
        <w:t xml:space="preserve"> со снижением способности участников финансового рынка </w:t>
      </w:r>
      <w:proofErr w:type="gramStart"/>
      <w:r w:rsidRPr="003D4875">
        <w:rPr>
          <w:szCs w:val="22"/>
        </w:rPr>
        <w:t>выполнять</w:t>
      </w:r>
      <w:proofErr w:type="gramEnd"/>
      <w:r w:rsidRPr="003D4875">
        <w:rPr>
          <w:szCs w:val="22"/>
        </w:rPr>
        <w:t xml:space="preserve"> свои обязательства. </w:t>
      </w:r>
    </w:p>
    <w:p w:rsidR="008F2288" w:rsidRPr="003D4875" w:rsidRDefault="00614653" w:rsidP="00B435AD">
      <w:pPr>
        <w:pStyle w:val="a8"/>
        <w:numPr>
          <w:ilvl w:val="0"/>
          <w:numId w:val="30"/>
        </w:numPr>
        <w:ind w:left="0" w:right="0" w:firstLine="227"/>
        <w:rPr>
          <w:b/>
          <w:i/>
          <w:szCs w:val="22"/>
        </w:rPr>
      </w:pPr>
      <w:proofErr w:type="gramStart"/>
      <w:r w:rsidRPr="003D4875">
        <w:rPr>
          <w:b/>
          <w:i/>
          <w:szCs w:val="22"/>
        </w:rPr>
        <w:t xml:space="preserve">Рыночный риск </w:t>
      </w:r>
      <w:r w:rsidR="00B435AD" w:rsidRPr="003D4875">
        <w:rPr>
          <w:b/>
          <w:i/>
          <w:szCs w:val="22"/>
        </w:rPr>
        <w:t>–</w:t>
      </w:r>
      <w:r w:rsidRPr="003D4875">
        <w:rPr>
          <w:b/>
          <w:i/>
          <w:szCs w:val="22"/>
        </w:rPr>
        <w:t xml:space="preserve"> </w:t>
      </w:r>
      <w:r w:rsidRPr="003D4875">
        <w:rPr>
          <w:szCs w:val="22"/>
        </w:rPr>
        <w:t>проявляется в неблагоприятном изменении цен (стоимости) принадлежащих Клиенту финансовых инструментов, в том числе из-за неблагоприятного изменения политической ситуации, резкой девальвации национальной валюты, кризиса рынка государственных долговых обязательств, банковского и валютного кризиса, обстоятельств непреодолимой силы, главным образом стихийного и военного характера, и как следствие, приводит к снижению доходности или даже убыткам.</w:t>
      </w:r>
      <w:proofErr w:type="gramEnd"/>
      <w:r w:rsidRPr="003D4875">
        <w:rPr>
          <w:szCs w:val="22"/>
        </w:rPr>
        <w:t xml:space="preserve"> </w:t>
      </w:r>
      <w:proofErr w:type="gramStart"/>
      <w:r w:rsidR="008F2288" w:rsidRPr="003D4875">
        <w:rPr>
          <w:szCs w:val="22"/>
        </w:rPr>
        <w:t>Необходимо отдавать себе отчет в том, возможен как рост, так и снижение стоимости принадлежащих</w:t>
      </w:r>
      <w:proofErr w:type="gramEnd"/>
      <w:r w:rsidR="008F2288" w:rsidRPr="003D4875">
        <w:rPr>
          <w:szCs w:val="22"/>
        </w:rPr>
        <w:t xml:space="preserve"> Клиенту финансовых инструментов и ее ро</w:t>
      </w:r>
      <w:proofErr w:type="gramStart"/>
      <w:r w:rsidR="008F2288" w:rsidRPr="003D4875">
        <w:rPr>
          <w:szCs w:val="22"/>
        </w:rPr>
        <w:t>ст в пр</w:t>
      </w:r>
      <w:proofErr w:type="gramEnd"/>
      <w:r w:rsidR="008F2288" w:rsidRPr="003D4875">
        <w:rPr>
          <w:szCs w:val="22"/>
        </w:rPr>
        <w:t>ошлом не означает роста в будущем.</w:t>
      </w:r>
      <w:r w:rsidR="008F2288" w:rsidRPr="003D4875">
        <w:rPr>
          <w:b/>
          <w:i/>
          <w:szCs w:val="22"/>
        </w:rPr>
        <w:t xml:space="preserve"> </w:t>
      </w:r>
    </w:p>
    <w:p w:rsidR="008F2288" w:rsidRPr="003D4875" w:rsidRDefault="008F2288" w:rsidP="008F2288">
      <w:pPr>
        <w:rPr>
          <w:i/>
          <w:szCs w:val="22"/>
        </w:rPr>
      </w:pPr>
      <w:r w:rsidRPr="003D4875">
        <w:rPr>
          <w:i/>
          <w:szCs w:val="22"/>
        </w:rPr>
        <w:t xml:space="preserve">Среди рыночных рисков следует обратить внимание на </w:t>
      </w:r>
      <w:proofErr w:type="gramStart"/>
      <w:r w:rsidRPr="003D4875">
        <w:rPr>
          <w:i/>
          <w:szCs w:val="22"/>
        </w:rPr>
        <w:t>следующие</w:t>
      </w:r>
      <w:proofErr w:type="gramEnd"/>
      <w:r w:rsidRPr="003D4875">
        <w:rPr>
          <w:i/>
          <w:szCs w:val="22"/>
        </w:rPr>
        <w:t>:</w:t>
      </w:r>
    </w:p>
    <w:p w:rsidR="00614653" w:rsidRPr="003D4875" w:rsidRDefault="00614653" w:rsidP="00B435AD">
      <w:pPr>
        <w:pStyle w:val="a8"/>
        <w:numPr>
          <w:ilvl w:val="1"/>
          <w:numId w:val="30"/>
        </w:numPr>
        <w:ind w:left="567" w:hanging="567"/>
        <w:rPr>
          <w:i/>
          <w:szCs w:val="22"/>
        </w:rPr>
      </w:pPr>
      <w:r w:rsidRPr="003D4875">
        <w:rPr>
          <w:i/>
          <w:szCs w:val="22"/>
        </w:rPr>
        <w:t xml:space="preserve">Валютный риск </w:t>
      </w:r>
      <w:r w:rsidRPr="003D4875">
        <w:rPr>
          <w:szCs w:val="22"/>
        </w:rPr>
        <w:t>– вероятность потерь, связанная с неблагоприятной динамикой</w:t>
      </w:r>
      <w:r w:rsidR="000160F3" w:rsidRPr="003D4875">
        <w:rPr>
          <w:szCs w:val="22"/>
        </w:rPr>
        <w:t xml:space="preserve"> </w:t>
      </w:r>
      <w:r w:rsidRPr="003D4875">
        <w:rPr>
          <w:szCs w:val="22"/>
        </w:rPr>
        <w:t xml:space="preserve">курсов иностранных валют. Проявляется в неблагоприятном изменении курса рубля по </w:t>
      </w:r>
      <w:r w:rsidR="00972D7F" w:rsidRPr="003D4875">
        <w:rPr>
          <w:szCs w:val="22"/>
        </w:rPr>
        <w:t>отношению к иностранной валюте, вследствие чего может быть потеряна часть дохода, а также понесены</w:t>
      </w:r>
      <w:r w:rsidR="000160F3" w:rsidRPr="003D4875">
        <w:rPr>
          <w:szCs w:val="22"/>
        </w:rPr>
        <w:t xml:space="preserve"> </w:t>
      </w:r>
      <w:r w:rsidR="00972D7F" w:rsidRPr="003D4875">
        <w:rPr>
          <w:szCs w:val="22"/>
        </w:rPr>
        <w:t xml:space="preserve">убытки. </w:t>
      </w:r>
      <w:r w:rsidRPr="003D4875">
        <w:rPr>
          <w:szCs w:val="22"/>
        </w:rPr>
        <w:t>Валютный риск также может привести к изменению размера обязательств по финансовым инструментам, связанным с иностранной валютой или иностранными финансовыми инструментами, что может привести к убыткам или к затруднению возможности расчета по ним.</w:t>
      </w:r>
      <w:r w:rsidRPr="003D4875">
        <w:rPr>
          <w:i/>
          <w:szCs w:val="22"/>
        </w:rPr>
        <w:t xml:space="preserve"> </w:t>
      </w:r>
    </w:p>
    <w:p w:rsidR="00614653" w:rsidRPr="003D4875" w:rsidRDefault="00614653" w:rsidP="00B435AD">
      <w:pPr>
        <w:pStyle w:val="a8"/>
        <w:numPr>
          <w:ilvl w:val="1"/>
          <w:numId w:val="30"/>
        </w:numPr>
        <w:ind w:left="567" w:hanging="567"/>
        <w:rPr>
          <w:szCs w:val="22"/>
        </w:rPr>
      </w:pPr>
      <w:r w:rsidRPr="003D4875">
        <w:rPr>
          <w:i/>
          <w:szCs w:val="22"/>
        </w:rPr>
        <w:t xml:space="preserve">Процентный риск </w:t>
      </w:r>
      <w:r w:rsidRPr="003D4875">
        <w:rPr>
          <w:szCs w:val="22"/>
        </w:rPr>
        <w:t>– вероятность потерь вследствие негативных изменений процентных ставок. 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rsidR="00614653" w:rsidRPr="003D4875" w:rsidRDefault="00614653" w:rsidP="00B435AD">
      <w:pPr>
        <w:pStyle w:val="a8"/>
        <w:numPr>
          <w:ilvl w:val="1"/>
          <w:numId w:val="30"/>
        </w:numPr>
        <w:ind w:left="567" w:hanging="567"/>
        <w:rPr>
          <w:szCs w:val="22"/>
        </w:rPr>
      </w:pPr>
      <w:r w:rsidRPr="003D4875">
        <w:rPr>
          <w:i/>
          <w:szCs w:val="22"/>
        </w:rPr>
        <w:t xml:space="preserve">Риск банкротства эмитента акций </w:t>
      </w:r>
      <w:r w:rsidRPr="003D4875">
        <w:rPr>
          <w:szCs w:val="22"/>
        </w:rPr>
        <w:t xml:space="preserve">– возможность наступления неплатежеспособности эмитента ценной бумаги. Проявляется в резком падении цены на такую ценную бумагу (акции) или невозможности погасить ее (долговые ценные бумаги). </w:t>
      </w:r>
    </w:p>
    <w:p w:rsidR="00614653" w:rsidRPr="003D4875" w:rsidRDefault="00614653" w:rsidP="00614653">
      <w:pPr>
        <w:rPr>
          <w:szCs w:val="22"/>
        </w:rPr>
      </w:pPr>
      <w:r w:rsidRPr="003D4875">
        <w:rPr>
          <w:szCs w:val="22"/>
        </w:rPr>
        <w:lastRenderedPageBreak/>
        <w:t>В целях снижения вероятности наступления рыночных рисков Клиент должен уделить внимание выбору и диверсификации финансовых инструментов. Важным аспектом является анализ расходов, связанных с владением и операциями с финансовыми инструментами.</w:t>
      </w:r>
    </w:p>
    <w:p w:rsidR="00614653" w:rsidRPr="003D4875" w:rsidRDefault="00614653" w:rsidP="00677115">
      <w:pPr>
        <w:pStyle w:val="a8"/>
        <w:numPr>
          <w:ilvl w:val="0"/>
          <w:numId w:val="30"/>
        </w:numPr>
        <w:ind w:left="0" w:right="0" w:firstLine="227"/>
        <w:rPr>
          <w:b/>
          <w:i/>
          <w:szCs w:val="22"/>
        </w:rPr>
      </w:pPr>
      <w:r w:rsidRPr="003D4875">
        <w:rPr>
          <w:b/>
          <w:i/>
          <w:szCs w:val="22"/>
        </w:rPr>
        <w:t>Риск ликвидности –</w:t>
      </w:r>
      <w:r w:rsidR="000160F3" w:rsidRPr="003D4875">
        <w:rPr>
          <w:b/>
          <w:i/>
          <w:szCs w:val="22"/>
        </w:rPr>
        <w:t xml:space="preserve"> </w:t>
      </w:r>
      <w:r w:rsidRPr="003D4875">
        <w:rPr>
          <w:szCs w:val="22"/>
        </w:rPr>
        <w:t>возможность возникновения затруднений при продаже или покупке актива по ожидаемой цене в определенный момент времени.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w:t>
      </w:r>
    </w:p>
    <w:p w:rsidR="00614653" w:rsidRPr="003D4875" w:rsidRDefault="00614653" w:rsidP="00677115">
      <w:pPr>
        <w:pStyle w:val="a8"/>
        <w:numPr>
          <w:ilvl w:val="0"/>
          <w:numId w:val="30"/>
        </w:numPr>
        <w:ind w:left="0" w:right="0" w:firstLine="227"/>
        <w:rPr>
          <w:b/>
          <w:i/>
          <w:szCs w:val="22"/>
        </w:rPr>
      </w:pPr>
      <w:r w:rsidRPr="003D4875">
        <w:rPr>
          <w:b/>
          <w:i/>
          <w:szCs w:val="22"/>
        </w:rPr>
        <w:t xml:space="preserve">Кредитный риск </w:t>
      </w:r>
      <w:r w:rsidRPr="003D4875">
        <w:rPr>
          <w:i/>
          <w:szCs w:val="22"/>
        </w:rPr>
        <w:t xml:space="preserve">– </w:t>
      </w:r>
      <w:r w:rsidRPr="003D4875">
        <w:rPr>
          <w:szCs w:val="22"/>
        </w:rPr>
        <w:t>возможность невыполнения контрактных и иных обязательств, принятых на себя другими лицами в связи с операциями Клиента.</w:t>
      </w:r>
      <w:r w:rsidRPr="003D4875">
        <w:rPr>
          <w:b/>
          <w:i/>
          <w:szCs w:val="22"/>
        </w:rPr>
        <w:t xml:space="preserve"> </w:t>
      </w:r>
    </w:p>
    <w:p w:rsidR="00614653" w:rsidRPr="003D4875" w:rsidRDefault="00614653" w:rsidP="00614653">
      <w:pPr>
        <w:rPr>
          <w:szCs w:val="22"/>
        </w:rPr>
      </w:pPr>
      <w:r w:rsidRPr="003D4875">
        <w:rPr>
          <w:szCs w:val="22"/>
        </w:rPr>
        <w:t>К числу кредитных рисков относятся следующие риски:</w:t>
      </w:r>
    </w:p>
    <w:p w:rsidR="00614653" w:rsidRPr="003D4875" w:rsidRDefault="00614653" w:rsidP="00B435AD">
      <w:pPr>
        <w:pStyle w:val="a8"/>
        <w:numPr>
          <w:ilvl w:val="1"/>
          <w:numId w:val="30"/>
        </w:numPr>
        <w:ind w:left="567" w:hanging="567"/>
        <w:rPr>
          <w:szCs w:val="22"/>
        </w:rPr>
      </w:pPr>
      <w:r w:rsidRPr="003D4875">
        <w:rPr>
          <w:i/>
          <w:szCs w:val="22"/>
        </w:rPr>
        <w:t xml:space="preserve">Риск дефолта по облигациям и иным долговым ценным бумагам </w:t>
      </w:r>
      <w:r w:rsidRPr="003D4875">
        <w:rPr>
          <w:szCs w:val="22"/>
        </w:rPr>
        <w:t>– заключается в возможности неплатежеспособности эмитента долговых ценных бумаг, что приведет к невозможности или снижению вероятности погасить ее в срок и в полном объеме.</w:t>
      </w:r>
    </w:p>
    <w:p w:rsidR="00614653" w:rsidRPr="003D4875" w:rsidRDefault="00614653" w:rsidP="00B435AD">
      <w:pPr>
        <w:pStyle w:val="a8"/>
        <w:numPr>
          <w:ilvl w:val="1"/>
          <w:numId w:val="30"/>
        </w:numPr>
        <w:ind w:left="567" w:hanging="567"/>
        <w:rPr>
          <w:szCs w:val="22"/>
        </w:rPr>
      </w:pPr>
      <w:r w:rsidRPr="003D4875">
        <w:rPr>
          <w:i/>
          <w:szCs w:val="22"/>
        </w:rPr>
        <w:t xml:space="preserve">Риск контрагента </w:t>
      </w:r>
      <w:r w:rsidRPr="003D4875">
        <w:rPr>
          <w:szCs w:val="22"/>
        </w:rPr>
        <w:t>– проявляется в возможности неисполнения обязательств со стороны контрагентов. Наиболее высок риск контрагента при совершении операций, совершаемых на неорганизованном рынке, без участия клиринговых организаций, принимающих на себя риски неисполнения обязательств.</w:t>
      </w:r>
    </w:p>
    <w:p w:rsidR="00614653" w:rsidRPr="003D4875" w:rsidRDefault="00614653" w:rsidP="00B435AD">
      <w:pPr>
        <w:pStyle w:val="a8"/>
        <w:numPr>
          <w:ilvl w:val="1"/>
          <w:numId w:val="30"/>
        </w:numPr>
        <w:ind w:left="567" w:hanging="567"/>
        <w:rPr>
          <w:i/>
          <w:szCs w:val="22"/>
        </w:rPr>
      </w:pPr>
      <w:r w:rsidRPr="003D4875">
        <w:rPr>
          <w:i/>
          <w:szCs w:val="22"/>
        </w:rPr>
        <w:t xml:space="preserve">Риск неисполнения обязательств перед Клиентом Брокером </w:t>
      </w:r>
      <w:r w:rsidRPr="003D4875">
        <w:rPr>
          <w:szCs w:val="22"/>
        </w:rPr>
        <w:t>–</w:t>
      </w:r>
      <w:r w:rsidR="00DD0C86" w:rsidRPr="003D4875">
        <w:rPr>
          <w:szCs w:val="22"/>
        </w:rPr>
        <w:t xml:space="preserve"> </w:t>
      </w:r>
      <w:r w:rsidRPr="003D4875">
        <w:rPr>
          <w:szCs w:val="22"/>
        </w:rPr>
        <w:t>является видом риска контрагента. Законодательство требует хранить денежные средства Брокера и денежные средства его Клиентов на разных банковских счетах, благодаря чему они защищены в случае банкротства Брокера. Однако обычно денежные средства Клиента хранятся на банковском счете вместе с денежными средствами других Клиентов и поэтому не защищены от обращения взыскания по долгам других Клиентов. Для того чтобы исключить этот риск Клиент может требовать от Брокера хранить денежные средства Клиента на отдельном счете, но в этом случае Брокер может установить дополнительное вознаграждение. Особое внимание следует также обратить на право Брокера использовать средства Клиента. Если договор о брокерском обслуживании разрешает Брокеру использовать средства Клиента, он вправе зачислять их на банковский счет, предназначенный для хранения своих собственных денежных средств. В этом случае Клиент принимает на себя риск банкротства Брокера. Такой риск в настоящее время не страхуется. Клиент должен внимательно ознакомиться с Регламентом брокерского обслуживания Компании для того, чтобы оценить какие полномочия по использованию имущества Клиента будет иметь Брокер, каковы правила его хранения, а также возврата.</w:t>
      </w:r>
      <w:r w:rsidRPr="003D4875">
        <w:rPr>
          <w:i/>
          <w:szCs w:val="22"/>
        </w:rPr>
        <w:t xml:space="preserve"> </w:t>
      </w:r>
    </w:p>
    <w:p w:rsidR="00614653" w:rsidRPr="003D4875" w:rsidRDefault="00614653" w:rsidP="00B435AD">
      <w:pPr>
        <w:pStyle w:val="a8"/>
        <w:numPr>
          <w:ilvl w:val="0"/>
          <w:numId w:val="30"/>
        </w:numPr>
        <w:ind w:left="0" w:right="0" w:firstLine="227"/>
        <w:rPr>
          <w:b/>
          <w:i/>
          <w:szCs w:val="22"/>
        </w:rPr>
      </w:pPr>
      <w:r w:rsidRPr="003D4875">
        <w:rPr>
          <w:b/>
          <w:i/>
          <w:szCs w:val="22"/>
        </w:rPr>
        <w:t xml:space="preserve">Правовой риск </w:t>
      </w:r>
      <w:r w:rsidRPr="003D4875">
        <w:rPr>
          <w:szCs w:val="22"/>
        </w:rPr>
        <w:t>– возможность наступления негативных последствий вследствие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которые могут привести к негативным последствиям</w:t>
      </w:r>
      <w:r w:rsidR="00A14AB8" w:rsidRPr="003D4875">
        <w:rPr>
          <w:szCs w:val="22"/>
        </w:rPr>
        <w:t xml:space="preserve"> для Клиента</w:t>
      </w:r>
      <w:r w:rsidRPr="003D4875">
        <w:rPr>
          <w:szCs w:val="22"/>
        </w:rPr>
        <w:t>. 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последствиям</w:t>
      </w:r>
      <w:r w:rsidR="004F6804" w:rsidRPr="003D4875">
        <w:rPr>
          <w:szCs w:val="22"/>
        </w:rPr>
        <w:t xml:space="preserve"> для Клиента</w:t>
      </w:r>
      <w:r w:rsidRPr="003D4875">
        <w:rPr>
          <w:szCs w:val="22"/>
        </w:rPr>
        <w:t>.</w:t>
      </w:r>
      <w:r w:rsidRPr="003D4875">
        <w:rPr>
          <w:b/>
          <w:i/>
          <w:szCs w:val="22"/>
        </w:rPr>
        <w:t xml:space="preserve"> </w:t>
      </w:r>
    </w:p>
    <w:p w:rsidR="00614653" w:rsidRPr="003D4875" w:rsidRDefault="00614653" w:rsidP="00B435AD">
      <w:pPr>
        <w:pStyle w:val="a8"/>
        <w:numPr>
          <w:ilvl w:val="0"/>
          <w:numId w:val="30"/>
        </w:numPr>
        <w:ind w:left="0" w:right="0" w:firstLine="227"/>
        <w:rPr>
          <w:b/>
          <w:i/>
          <w:szCs w:val="22"/>
        </w:rPr>
      </w:pPr>
      <w:r w:rsidRPr="003D4875">
        <w:rPr>
          <w:b/>
          <w:i/>
          <w:szCs w:val="22"/>
        </w:rPr>
        <w:t xml:space="preserve">Операционный риск (технический, технологический) </w:t>
      </w:r>
      <w:r w:rsidRPr="003D4875">
        <w:rPr>
          <w:szCs w:val="22"/>
        </w:rPr>
        <w:t>– заключается в возможности причинения Клиенту убытков в результате нарушения внутренних процедур Брокера, ошибок и недобросовестных действий его сотрудников, сбоев в работе технических сре</w:t>
      </w:r>
      <w:proofErr w:type="gramStart"/>
      <w:r w:rsidRPr="003D4875">
        <w:rPr>
          <w:szCs w:val="22"/>
        </w:rPr>
        <w:t>дств Бр</w:t>
      </w:r>
      <w:proofErr w:type="gramEnd"/>
      <w:r w:rsidRPr="003D4875">
        <w:rPr>
          <w:szCs w:val="22"/>
        </w:rPr>
        <w:t>окера,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w:t>
      </w:r>
      <w:r w:rsidR="00DD0C86" w:rsidRPr="003D4875">
        <w:rPr>
          <w:szCs w:val="22"/>
        </w:rPr>
        <w:t xml:space="preserve"> результате привести к убыткам. Клиенту следует</w:t>
      </w:r>
      <w:r w:rsidRPr="003D4875">
        <w:rPr>
          <w:szCs w:val="22"/>
        </w:rPr>
        <w:t xml:space="preserve"> внимательно</w:t>
      </w:r>
      <w:r w:rsidR="00DD0C86" w:rsidRPr="003D4875">
        <w:rPr>
          <w:szCs w:val="22"/>
        </w:rPr>
        <w:t xml:space="preserve"> ознакомиться</w:t>
      </w:r>
      <w:r w:rsidRPr="003D4875">
        <w:rPr>
          <w:szCs w:val="22"/>
        </w:rPr>
        <w:t xml:space="preserve"> с Регламентом для того, чтобы оценить какие из рисков, в том числе риски каких технических сбоев, несет Брокер, а какие из рисков несет Клиент.</w:t>
      </w:r>
      <w:r w:rsidRPr="003D4875">
        <w:rPr>
          <w:b/>
          <w:i/>
          <w:szCs w:val="22"/>
        </w:rPr>
        <w:t xml:space="preserve"> </w:t>
      </w:r>
    </w:p>
    <w:p w:rsidR="00D3257A" w:rsidRPr="003D4875" w:rsidRDefault="00D3257A" w:rsidP="00D3257A">
      <w:pPr>
        <w:pStyle w:val="a8"/>
        <w:ind w:left="227" w:right="0" w:firstLine="0"/>
        <w:rPr>
          <w:b/>
          <w:i/>
          <w:szCs w:val="22"/>
        </w:rPr>
      </w:pPr>
    </w:p>
    <w:p w:rsidR="00B843E4" w:rsidRPr="003D4875" w:rsidRDefault="00B843E4" w:rsidP="00614653">
      <w:pPr>
        <w:jc w:val="center"/>
        <w:rPr>
          <w:b/>
          <w:szCs w:val="22"/>
        </w:rPr>
      </w:pPr>
    </w:p>
    <w:p w:rsidR="00614653" w:rsidRPr="003D4875" w:rsidRDefault="00614653" w:rsidP="00614653">
      <w:pPr>
        <w:jc w:val="center"/>
        <w:rPr>
          <w:b/>
          <w:color w:val="632423" w:themeColor="accent2" w:themeShade="80"/>
          <w:szCs w:val="22"/>
        </w:rPr>
      </w:pPr>
      <w:r w:rsidRPr="003D4875">
        <w:rPr>
          <w:b/>
          <w:color w:val="632423" w:themeColor="accent2" w:themeShade="80"/>
          <w:szCs w:val="22"/>
        </w:rPr>
        <w:lastRenderedPageBreak/>
        <w:t>Риски, связанные с индивидуальными инвестиционными счетами</w:t>
      </w:r>
    </w:p>
    <w:p w:rsidR="00614653" w:rsidRPr="003D4875" w:rsidRDefault="00AA78EE" w:rsidP="00614653">
      <w:pPr>
        <w:rPr>
          <w:szCs w:val="22"/>
        </w:rPr>
      </w:pPr>
      <w:r w:rsidRPr="003D4875">
        <w:rPr>
          <w:szCs w:val="22"/>
        </w:rPr>
        <w:t xml:space="preserve">Все риски, </w:t>
      </w:r>
      <w:r w:rsidR="004E4E55" w:rsidRPr="003D4875">
        <w:rPr>
          <w:szCs w:val="22"/>
        </w:rPr>
        <w:t>упомянутые</w:t>
      </w:r>
      <w:r w:rsidRPr="003D4875">
        <w:rPr>
          <w:szCs w:val="22"/>
        </w:rPr>
        <w:t xml:space="preserve"> в </w:t>
      </w:r>
      <w:r w:rsidR="00972DD1" w:rsidRPr="003D4875">
        <w:rPr>
          <w:szCs w:val="22"/>
        </w:rPr>
        <w:t>предшествующем</w:t>
      </w:r>
      <w:r w:rsidRPr="003D4875">
        <w:rPr>
          <w:szCs w:val="22"/>
        </w:rPr>
        <w:t xml:space="preserve"> разделе Декларации, имеют отношение и к индивидуальным инвестиционным счетам, однако существуют особенности, которые необходимо знать для того, чтобы воспользоваться налоговыми преимуществами, которые предоставляют такие счета и исключить риск лишения таких преимуществ. </w:t>
      </w:r>
      <w:r w:rsidR="00614653" w:rsidRPr="003D4875">
        <w:rPr>
          <w:szCs w:val="22"/>
        </w:rPr>
        <w:t xml:space="preserve">В случае заключения договора, связанного с ведением индивидуального инвестиционного счета, Клиенту предоставляется возможность получения инвестиционного налогового вычета. </w:t>
      </w:r>
    </w:p>
    <w:p w:rsidR="00614653" w:rsidRPr="003D4875" w:rsidRDefault="00614653" w:rsidP="00614653">
      <w:pPr>
        <w:rPr>
          <w:szCs w:val="22"/>
        </w:rPr>
      </w:pPr>
      <w:r w:rsidRPr="003D4875">
        <w:rPr>
          <w:szCs w:val="22"/>
        </w:rPr>
        <w:t xml:space="preserve"> Существует два варианта инвестиционных налоговых вычетов: </w:t>
      </w:r>
    </w:p>
    <w:p w:rsidR="00614653" w:rsidRPr="003D4875" w:rsidRDefault="00614653" w:rsidP="001E633E">
      <w:pPr>
        <w:pStyle w:val="a8"/>
        <w:numPr>
          <w:ilvl w:val="0"/>
          <w:numId w:val="28"/>
        </w:numPr>
        <w:ind w:right="0"/>
        <w:rPr>
          <w:szCs w:val="22"/>
        </w:rPr>
      </w:pPr>
      <w:r w:rsidRPr="003D4875">
        <w:rPr>
          <w:szCs w:val="22"/>
        </w:rPr>
        <w:t xml:space="preserve">«на взнос», по которому Клиент имеет возможность ежегодно обращаться за возвратом уплаченного подоходного </w:t>
      </w:r>
      <w:proofErr w:type="gramStart"/>
      <w:r w:rsidRPr="003D4875">
        <w:rPr>
          <w:szCs w:val="22"/>
        </w:rPr>
        <w:t>налога</w:t>
      </w:r>
      <w:proofErr w:type="gramEnd"/>
      <w:r w:rsidRPr="003D4875">
        <w:rPr>
          <w:szCs w:val="22"/>
        </w:rPr>
        <w:t xml:space="preserve"> на</w:t>
      </w:r>
      <w:r w:rsidR="005C1D2C" w:rsidRPr="003D4875">
        <w:rPr>
          <w:szCs w:val="22"/>
        </w:rPr>
        <w:t xml:space="preserve"> сумму сделанного им взноса, при этом </w:t>
      </w:r>
      <w:r w:rsidRPr="003D4875">
        <w:rPr>
          <w:szCs w:val="22"/>
        </w:rPr>
        <w:t>необходимо будет уплатить подоходный налог на доход, исчисленный при закрытии индивидуального инвестиционного счета;</w:t>
      </w:r>
    </w:p>
    <w:p w:rsidR="00614653" w:rsidRPr="003D4875" w:rsidRDefault="00614653" w:rsidP="001E633E">
      <w:pPr>
        <w:pStyle w:val="a8"/>
        <w:numPr>
          <w:ilvl w:val="0"/>
          <w:numId w:val="28"/>
        </w:numPr>
        <w:ind w:right="0"/>
        <w:rPr>
          <w:szCs w:val="22"/>
        </w:rPr>
      </w:pPr>
      <w:r w:rsidRPr="003D4875">
        <w:rPr>
          <w:szCs w:val="22"/>
        </w:rPr>
        <w:t>«на изъятие средств со счета», по которому Клиент не имеет возможности получать ежегодный возврат налога, но будет освобожден от уплаты подоходного налога при изъятии средств с индивидуального инвестиционного счета.</w:t>
      </w:r>
    </w:p>
    <w:p w:rsidR="00614653" w:rsidRPr="003D4875" w:rsidRDefault="00614653" w:rsidP="00614653">
      <w:pPr>
        <w:rPr>
          <w:szCs w:val="22"/>
        </w:rPr>
      </w:pPr>
      <w:proofErr w:type="gramStart"/>
      <w:r w:rsidRPr="003D4875">
        <w:rPr>
          <w:szCs w:val="22"/>
        </w:rPr>
        <w:t>Клиенту следует обратить внимание на то, что можно воспользоваться только одним из вариантов инвестиционного налогового вычета в течение срока действия договора на ведение индивидуального инвестиционного счета, это значит, что если Клиент хотя бы однажды воспользуется инвестиционным вычетом «на взнос», то не сможет воспользоваться инвестиционным вычетом «на изъятие средств», что может лишить Клиента всех преимуществ этого варианта.</w:t>
      </w:r>
      <w:proofErr w:type="gramEnd"/>
      <w:r w:rsidRPr="003D4875">
        <w:rPr>
          <w:szCs w:val="22"/>
        </w:rPr>
        <w:t xml:space="preserve"> </w:t>
      </w:r>
      <w:r w:rsidR="005C1D2C" w:rsidRPr="003D4875">
        <w:rPr>
          <w:szCs w:val="22"/>
        </w:rPr>
        <w:t>Н</w:t>
      </w:r>
      <w:r w:rsidRPr="003D4875">
        <w:rPr>
          <w:szCs w:val="22"/>
        </w:rPr>
        <w:t xml:space="preserve">еобходимо определить предпочтительный для него вариант, в случае необходимости обсудить достоинства и недостатки каждого варианта с Брокером и (или) консультантом, специализирующимся на соответствующих консультациях. </w:t>
      </w:r>
    </w:p>
    <w:p w:rsidR="00614653" w:rsidRPr="003D4875" w:rsidRDefault="00614653" w:rsidP="00614653">
      <w:pPr>
        <w:rPr>
          <w:szCs w:val="22"/>
        </w:rPr>
      </w:pPr>
      <w:proofErr w:type="gramStart"/>
      <w:r w:rsidRPr="003D4875">
        <w:rPr>
          <w:szCs w:val="22"/>
        </w:rPr>
        <w:t xml:space="preserve">Клиенту следует иметь в виду также то, что если договор на ведение индивидуального инвестиционного счета прекратится ранее трех лет с момента его заключения, то Клиент не сможет воспользоваться описанными инвестиционными налоговыми вычетами, и, в случае если Клиент пользовался вычетом «на взнос», он будет обязан вернуть государству все суммы возвращенного ему налога. </w:t>
      </w:r>
      <w:proofErr w:type="gramEnd"/>
    </w:p>
    <w:p w:rsidR="00614653" w:rsidRPr="003D4875" w:rsidRDefault="00614653" w:rsidP="00614653">
      <w:pPr>
        <w:rPr>
          <w:szCs w:val="22"/>
        </w:rPr>
      </w:pPr>
      <w:r w:rsidRPr="003D4875">
        <w:rPr>
          <w:szCs w:val="22"/>
        </w:rPr>
        <w:t xml:space="preserve">Брокер не знает о выборе Клиентом варианта инвестиционного налогового вычета и не участвует в отношениях Клиента с налоговой службой. </w:t>
      </w:r>
      <w:r w:rsidR="005C1D2C" w:rsidRPr="003D4875">
        <w:rPr>
          <w:szCs w:val="22"/>
        </w:rPr>
        <w:t>С</w:t>
      </w:r>
      <w:r w:rsidRPr="003D4875">
        <w:rPr>
          <w:szCs w:val="22"/>
        </w:rPr>
        <w:t>ледует обратить внимание на то, что Клиент может иметь только один индивидуальный инвестиционный счет. Открытие нескольких индивидуальных инвестиционных счетов у одного или у разных профессиональных участников рынка ценных бумаг приведет к тому, что Клиент не сможет воспользоваться инвестиционным налоговым вычетом ни по одному из них.</w:t>
      </w:r>
      <w:r w:rsidR="000160F3" w:rsidRPr="003D4875">
        <w:rPr>
          <w:szCs w:val="22"/>
        </w:rPr>
        <w:t xml:space="preserve"> </w:t>
      </w:r>
    </w:p>
    <w:p w:rsidR="00614653" w:rsidRPr="003D4875" w:rsidRDefault="00A7731F" w:rsidP="008C02DF">
      <w:pPr>
        <w:pStyle w:val="1"/>
        <w:shd w:val="clear" w:color="auto" w:fill="auto"/>
        <w:spacing w:after="240"/>
        <w:ind w:left="0" w:right="0" w:firstLine="0"/>
        <w:jc w:val="center"/>
        <w:rPr>
          <w:rFonts w:ascii="Times New Roman" w:hAnsi="Times New Roman" w:cs="Times New Roman"/>
          <w:color w:val="63002F"/>
          <w:sz w:val="22"/>
          <w:szCs w:val="22"/>
        </w:rPr>
      </w:pPr>
      <w:r w:rsidRPr="003D4875">
        <w:rPr>
          <w:rFonts w:ascii="Times New Roman" w:hAnsi="Times New Roman" w:cs="Times New Roman"/>
          <w:color w:val="63002F"/>
          <w:sz w:val="22"/>
          <w:szCs w:val="22"/>
        </w:rPr>
        <w:t>Риски</w:t>
      </w:r>
      <w:r w:rsidR="00614653" w:rsidRPr="003D4875">
        <w:rPr>
          <w:rFonts w:ascii="Times New Roman" w:hAnsi="Times New Roman" w:cs="Times New Roman"/>
          <w:color w:val="63002F"/>
          <w:sz w:val="22"/>
          <w:szCs w:val="22"/>
        </w:rPr>
        <w:t>, связанн</w:t>
      </w:r>
      <w:r w:rsidRPr="003D4875">
        <w:rPr>
          <w:rFonts w:ascii="Times New Roman" w:hAnsi="Times New Roman" w:cs="Times New Roman"/>
          <w:color w:val="63002F"/>
          <w:sz w:val="22"/>
          <w:szCs w:val="22"/>
        </w:rPr>
        <w:t>ые</w:t>
      </w:r>
      <w:r w:rsidR="00614653" w:rsidRPr="003D4875">
        <w:rPr>
          <w:rFonts w:ascii="Times New Roman" w:hAnsi="Times New Roman" w:cs="Times New Roman"/>
          <w:color w:val="63002F"/>
          <w:sz w:val="22"/>
          <w:szCs w:val="22"/>
        </w:rPr>
        <w:t xml:space="preserve"> с совершением маржинальных и непокрытых сделок</w:t>
      </w:r>
    </w:p>
    <w:p w:rsidR="00614653" w:rsidRPr="003D4875" w:rsidRDefault="00614653" w:rsidP="00614653">
      <w:pPr>
        <w:rPr>
          <w:szCs w:val="22"/>
        </w:rPr>
      </w:pPr>
      <w:r w:rsidRPr="003D4875">
        <w:rPr>
          <w:szCs w:val="22"/>
        </w:rPr>
        <w:t xml:space="preserve">Нормативные акты ограничивают риски </w:t>
      </w:r>
      <w:r w:rsidR="0010724E" w:rsidRPr="003D4875">
        <w:rPr>
          <w:szCs w:val="22"/>
        </w:rPr>
        <w:t>К</w:t>
      </w:r>
      <w:r w:rsidRPr="003D4875">
        <w:rPr>
          <w:szCs w:val="22"/>
        </w:rPr>
        <w:t>лиентов по маржинальным и непокрытым сделкам, в том числе регулируя максимальное «плечо» — соотношение обязатель</w:t>
      </w:r>
      <w:proofErr w:type="gramStart"/>
      <w:r w:rsidRPr="003D4875">
        <w:rPr>
          <w:szCs w:val="22"/>
        </w:rPr>
        <w:t xml:space="preserve">ств </w:t>
      </w:r>
      <w:r w:rsidR="0010724E" w:rsidRPr="003D4875">
        <w:rPr>
          <w:szCs w:val="22"/>
        </w:rPr>
        <w:t>К</w:t>
      </w:r>
      <w:r w:rsidRPr="003D4875">
        <w:rPr>
          <w:szCs w:val="22"/>
        </w:rPr>
        <w:t>л</w:t>
      </w:r>
      <w:proofErr w:type="gramEnd"/>
      <w:r w:rsidRPr="003D4875">
        <w:rPr>
          <w:szCs w:val="22"/>
        </w:rPr>
        <w:t xml:space="preserve">иента по заключенным в его интересах сделкам и имущества </w:t>
      </w:r>
      <w:r w:rsidR="0010724E" w:rsidRPr="003D4875">
        <w:rPr>
          <w:szCs w:val="22"/>
        </w:rPr>
        <w:t>К</w:t>
      </w:r>
      <w:r w:rsidRPr="003D4875">
        <w:rPr>
          <w:szCs w:val="22"/>
        </w:rPr>
        <w:t xml:space="preserve">лиента, предназначенного для совершения сделок в соответствии с Регламентом. Тем не менее, данные сделки подходят не всем </w:t>
      </w:r>
      <w:r w:rsidR="0010724E" w:rsidRPr="003D4875">
        <w:rPr>
          <w:szCs w:val="22"/>
        </w:rPr>
        <w:t>К</w:t>
      </w:r>
      <w:r w:rsidRPr="003D4875">
        <w:rPr>
          <w:szCs w:val="22"/>
        </w:rPr>
        <w:t xml:space="preserve">лиентам, поскольку сопряжены с дополнительными рисками, и требуют оценку того, готов ли Клиент их нести. </w:t>
      </w:r>
    </w:p>
    <w:p w:rsidR="00614653" w:rsidRPr="003D4875" w:rsidRDefault="00614653" w:rsidP="00B435AD">
      <w:pPr>
        <w:pStyle w:val="a8"/>
        <w:numPr>
          <w:ilvl w:val="0"/>
          <w:numId w:val="31"/>
        </w:numPr>
        <w:rPr>
          <w:b/>
          <w:i/>
          <w:szCs w:val="22"/>
        </w:rPr>
      </w:pPr>
      <w:r w:rsidRPr="003D4875">
        <w:rPr>
          <w:b/>
          <w:i/>
          <w:szCs w:val="22"/>
        </w:rPr>
        <w:t>Рыночный риск</w:t>
      </w:r>
    </w:p>
    <w:p w:rsidR="00614653" w:rsidRPr="003D4875" w:rsidRDefault="00614653" w:rsidP="00614653">
      <w:pPr>
        <w:rPr>
          <w:szCs w:val="22"/>
        </w:rPr>
      </w:pPr>
      <w:r w:rsidRPr="003D4875">
        <w:rPr>
          <w:szCs w:val="22"/>
        </w:rPr>
        <w:t xml:space="preserve">При согласии на совершение маржинальных и непокрытых сделок Клиент должен учитывать тот факт, что величина потерь в случае неблагоприятного </w:t>
      </w:r>
      <w:r w:rsidR="0010724E" w:rsidRPr="003D4875">
        <w:rPr>
          <w:szCs w:val="22"/>
        </w:rPr>
        <w:t xml:space="preserve">для </w:t>
      </w:r>
      <w:r w:rsidRPr="003D4875">
        <w:rPr>
          <w:szCs w:val="22"/>
        </w:rPr>
        <w:t xml:space="preserve">портфеля Клиента движения рынка растет при увеличении «плеча». </w:t>
      </w:r>
    </w:p>
    <w:p w:rsidR="00614653" w:rsidRPr="003D4875" w:rsidRDefault="00614653" w:rsidP="00614653">
      <w:pPr>
        <w:rPr>
          <w:szCs w:val="22"/>
        </w:rPr>
      </w:pPr>
      <w:proofErr w:type="gramStart"/>
      <w:r w:rsidRPr="003D4875">
        <w:rPr>
          <w:szCs w:val="22"/>
        </w:rPr>
        <w:t xml:space="preserve">Помимо общего рыночного риска, который несет Клиент, совершающий операции на рынке ценных бумаг, в случае совершения маржинальных и непокрытых сделок </w:t>
      </w:r>
      <w:r w:rsidR="004716ED" w:rsidRPr="003D4875">
        <w:rPr>
          <w:szCs w:val="22"/>
        </w:rPr>
        <w:t xml:space="preserve">Клиент </w:t>
      </w:r>
      <w:r w:rsidRPr="003D4875">
        <w:rPr>
          <w:szCs w:val="22"/>
        </w:rPr>
        <w:t xml:space="preserve">будет нести риск </w:t>
      </w:r>
      <w:r w:rsidRPr="003D4875">
        <w:rPr>
          <w:szCs w:val="22"/>
        </w:rPr>
        <w:lastRenderedPageBreak/>
        <w:t>неблагоприятного изменения цены как в отношении ценных бумаг, в результате приобретения которых возникла или увеличилась непокрытая позиция, так и риск в отношении активов, которые служат обеспечением.</w:t>
      </w:r>
      <w:proofErr w:type="gramEnd"/>
      <w:r w:rsidRPr="003D4875">
        <w:rPr>
          <w:szCs w:val="22"/>
        </w:rPr>
        <w:t xml:space="preserve"> При этом в случае если непокрытая позиция возникла или увеличилась в результате продажи ценных бумаг, величина убытков ничем не ограничена – Клиент будет обязан вернуть (передать) Брокеру ценные бумаги независимо от изменения их стоимости.</w:t>
      </w:r>
    </w:p>
    <w:p w:rsidR="00614653" w:rsidRPr="003D4875" w:rsidRDefault="00614653" w:rsidP="00614653">
      <w:pPr>
        <w:rPr>
          <w:szCs w:val="22"/>
        </w:rPr>
      </w:pPr>
      <w:r w:rsidRPr="003D4875">
        <w:rPr>
          <w:szCs w:val="22"/>
        </w:rPr>
        <w:t>При совершении маржинальных и непокрытых сделок Клиент должен учитывать, что возможность распоряжения активами, являющимися обеспечением по таким сделкам, ограничена. Имущество (часть имущества), принадлежащее Клиенту, в результате совершения маржинальной или непокрытой сделки является обеспечением исполнения обязатель</w:t>
      </w:r>
      <w:proofErr w:type="gramStart"/>
      <w:r w:rsidRPr="003D4875">
        <w:rPr>
          <w:szCs w:val="22"/>
        </w:rPr>
        <w:t>ств Кл</w:t>
      </w:r>
      <w:proofErr w:type="gramEnd"/>
      <w:r w:rsidRPr="003D4875">
        <w:rPr>
          <w:szCs w:val="22"/>
        </w:rPr>
        <w:t xml:space="preserve">иента перед Брокером и возможность распоряжения им может быть ограничена вплоть до полного запрета совершения с ним каких-либо сделок. Размер обеспечения изменяется в порядке, предусмотренном Регламентом, и в результате может </w:t>
      </w:r>
      <w:r w:rsidR="004716ED" w:rsidRPr="003D4875">
        <w:rPr>
          <w:szCs w:val="22"/>
        </w:rPr>
        <w:t>возникнуть</w:t>
      </w:r>
      <w:r w:rsidRPr="003D4875">
        <w:rPr>
          <w:szCs w:val="22"/>
        </w:rPr>
        <w:t xml:space="preserve"> ограничен</w:t>
      </w:r>
      <w:r w:rsidR="004716ED" w:rsidRPr="003D4875">
        <w:rPr>
          <w:szCs w:val="22"/>
        </w:rPr>
        <w:t>ие</w:t>
      </w:r>
      <w:r w:rsidR="000160F3" w:rsidRPr="003D4875">
        <w:rPr>
          <w:szCs w:val="22"/>
        </w:rPr>
        <w:t xml:space="preserve"> </w:t>
      </w:r>
      <w:r w:rsidRPr="003D4875">
        <w:rPr>
          <w:szCs w:val="22"/>
        </w:rPr>
        <w:t>возможности распоряж</w:t>
      </w:r>
      <w:r w:rsidR="004716ED" w:rsidRPr="003D4875">
        <w:rPr>
          <w:szCs w:val="22"/>
        </w:rPr>
        <w:t>ения</w:t>
      </w:r>
      <w:r w:rsidRPr="003D4875">
        <w:rPr>
          <w:szCs w:val="22"/>
        </w:rPr>
        <w:t xml:space="preserve"> имуществом в большей степени, чем до совершения маржинальной (непокрытой) сделки.</w:t>
      </w:r>
    </w:p>
    <w:p w:rsidR="00614653" w:rsidRPr="003D4875" w:rsidRDefault="00614653" w:rsidP="00614653">
      <w:pPr>
        <w:rPr>
          <w:szCs w:val="22"/>
        </w:rPr>
      </w:pPr>
      <w:r w:rsidRPr="003D4875">
        <w:rPr>
          <w:szCs w:val="22"/>
        </w:rPr>
        <w:t>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что должно быть сделано в короткий срок, который может являться недостаточным для Клиента. Нормативные акты и условия брокерского договора позволяют Брокеру без согласия Клиента «принудительно закрыть позицию», то есть приобрести ценные бумаги за счет денежных сре</w:t>
      </w:r>
      <w:proofErr w:type="gramStart"/>
      <w:r w:rsidRPr="003D4875">
        <w:rPr>
          <w:szCs w:val="22"/>
        </w:rPr>
        <w:t>дств Кл</w:t>
      </w:r>
      <w:proofErr w:type="gramEnd"/>
      <w:r w:rsidRPr="003D4875">
        <w:rPr>
          <w:szCs w:val="22"/>
        </w:rPr>
        <w:t>иента или продать ценные бумаги, принадлежащие Клиенту. Это может быть сделано по существующим, в том числе невыгодным, ценам и привести к возникновению у Клиента убытков.</w:t>
      </w:r>
    </w:p>
    <w:p w:rsidR="00307D91" w:rsidRPr="003D4875" w:rsidRDefault="00614653" w:rsidP="00614653">
      <w:pPr>
        <w:rPr>
          <w:szCs w:val="22"/>
        </w:rPr>
      </w:pPr>
      <w:r w:rsidRPr="003D4875">
        <w:rPr>
          <w:szCs w:val="22"/>
        </w:rPr>
        <w:t>Принудительное закрытие позиции может быть вызвано</w:t>
      </w:r>
      <w:r w:rsidR="00307D91" w:rsidRPr="003D4875">
        <w:rPr>
          <w:szCs w:val="22"/>
        </w:rPr>
        <w:t>:</w:t>
      </w:r>
    </w:p>
    <w:p w:rsidR="00307D91" w:rsidRPr="003D4875" w:rsidRDefault="00614653" w:rsidP="00307D91">
      <w:pPr>
        <w:pStyle w:val="a8"/>
        <w:numPr>
          <w:ilvl w:val="0"/>
          <w:numId w:val="34"/>
        </w:numPr>
        <w:ind w:left="567" w:hanging="567"/>
        <w:rPr>
          <w:szCs w:val="22"/>
        </w:rPr>
      </w:pPr>
      <w:r w:rsidRPr="003D4875">
        <w:rPr>
          <w:szCs w:val="22"/>
        </w:rPr>
        <w:t>резкими колебаниями рыночных цен, которые повлекли уменьшение стоимости портфеля Клиент</w:t>
      </w:r>
      <w:r w:rsidR="00307D91" w:rsidRPr="003D4875">
        <w:rPr>
          <w:szCs w:val="22"/>
        </w:rPr>
        <w:t>а ниже минимальной маржи;</w:t>
      </w:r>
      <w:r w:rsidRPr="003D4875">
        <w:rPr>
          <w:szCs w:val="22"/>
        </w:rPr>
        <w:t xml:space="preserve"> </w:t>
      </w:r>
    </w:p>
    <w:p w:rsidR="00614653" w:rsidRPr="003D4875" w:rsidRDefault="00614653" w:rsidP="00307D91">
      <w:pPr>
        <w:pStyle w:val="a8"/>
        <w:numPr>
          <w:ilvl w:val="0"/>
          <w:numId w:val="34"/>
        </w:numPr>
        <w:ind w:left="567" w:hanging="567"/>
        <w:rPr>
          <w:szCs w:val="22"/>
        </w:rPr>
      </w:pPr>
      <w:r w:rsidRPr="003D4875">
        <w:rPr>
          <w:szCs w:val="22"/>
        </w:rPr>
        <w:t>требованиями нормативных актов или внесением Брокером в одностороннем порядке изменений в список ценных бумаг, которые могут быть обеспечением по непокрытым позициям</w:t>
      </w:r>
      <w:r w:rsidR="00307D91" w:rsidRPr="003D4875">
        <w:rPr>
          <w:szCs w:val="22"/>
        </w:rPr>
        <w:t>;</w:t>
      </w:r>
      <w:r w:rsidRPr="003D4875">
        <w:rPr>
          <w:szCs w:val="22"/>
        </w:rPr>
        <w:t xml:space="preserve"> </w:t>
      </w:r>
    </w:p>
    <w:p w:rsidR="00614653" w:rsidRPr="003D4875" w:rsidRDefault="00614653" w:rsidP="00307D91">
      <w:pPr>
        <w:pStyle w:val="a8"/>
        <w:numPr>
          <w:ilvl w:val="0"/>
          <w:numId w:val="34"/>
        </w:numPr>
        <w:ind w:left="567" w:hanging="567"/>
        <w:rPr>
          <w:szCs w:val="22"/>
        </w:rPr>
      </w:pPr>
      <w:r w:rsidRPr="003D4875">
        <w:rPr>
          <w:szCs w:val="22"/>
        </w:rPr>
        <w:t xml:space="preserve">изменением значений ставок риска, рассчитываемых клиринговой организацией и (или) используемых Брокером в связи с увеличением волатильности соответствующих ценных бумаг. </w:t>
      </w:r>
    </w:p>
    <w:p w:rsidR="00614653" w:rsidRPr="003D4875" w:rsidRDefault="001E633E" w:rsidP="00614653">
      <w:pPr>
        <w:rPr>
          <w:szCs w:val="22"/>
        </w:rPr>
      </w:pPr>
      <w:r w:rsidRPr="003D4875">
        <w:rPr>
          <w:szCs w:val="22"/>
        </w:rPr>
        <w:t xml:space="preserve">Во всех этих случаях принудительное закрытие позиции может причинить Клиенту значительные убытки, несмотря на то, что после закрытия позиции изменение цен на финансовые инструменты может принять благоприятное направление, и Клиент получил бы доход, если бы позиция Клиента не была закрыта. </w:t>
      </w:r>
      <w:r w:rsidR="00614653" w:rsidRPr="003D4875">
        <w:rPr>
          <w:szCs w:val="22"/>
        </w:rPr>
        <w:t xml:space="preserve">Размер указанных убытков при неблагоприятном стечении обстоятельств может превысить стоимость находящихся на счету Клиента активов. </w:t>
      </w:r>
    </w:p>
    <w:p w:rsidR="00614653" w:rsidRPr="003D4875" w:rsidRDefault="00614653" w:rsidP="00B435AD">
      <w:pPr>
        <w:pStyle w:val="a8"/>
        <w:numPr>
          <w:ilvl w:val="0"/>
          <w:numId w:val="31"/>
        </w:numPr>
        <w:rPr>
          <w:b/>
          <w:i/>
          <w:szCs w:val="22"/>
        </w:rPr>
      </w:pPr>
      <w:r w:rsidRPr="003D4875">
        <w:rPr>
          <w:b/>
          <w:i/>
          <w:szCs w:val="22"/>
        </w:rPr>
        <w:t>Риск ликвидности</w:t>
      </w:r>
    </w:p>
    <w:p w:rsidR="00614653" w:rsidRPr="003D4875" w:rsidRDefault="00614653" w:rsidP="00614653">
      <w:pPr>
        <w:rPr>
          <w:szCs w:val="22"/>
        </w:rPr>
      </w:pPr>
      <w:r w:rsidRPr="003D4875">
        <w:rPr>
          <w:szCs w:val="22"/>
        </w:rPr>
        <w:t>Если величина непокрытой позиции по отдельным ценным бумагам является значимой в сравнении с объемом соответствующих ценных бумаг в свободном обращении и (или) в сравнении с объемом торгов на организованном рынке, риск ликвидности при совершении маржинальной и непокрытой сделки усиливается. Трудности с приобретением или продажей активов могут привести к увеличению убытков по сравнению с обычными сделками. Аналогично необходимо учитывать возрастающий риск ликвидности, если обеспечением непокрытой позиции Клиента являются ценные бумаги и для закрытия непокрытой позиции может потребоваться реализация существенного количества ценных бумаг. Поручения Клиента,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Клиентом цене может оказаться невозможным.</w:t>
      </w:r>
    </w:p>
    <w:p w:rsidR="00614653" w:rsidRPr="003D4875" w:rsidRDefault="00A7731F" w:rsidP="008C02DF">
      <w:pPr>
        <w:pStyle w:val="1"/>
        <w:shd w:val="clear" w:color="auto" w:fill="auto"/>
        <w:spacing w:after="240"/>
        <w:ind w:left="0" w:right="0" w:firstLine="0"/>
        <w:jc w:val="center"/>
        <w:rPr>
          <w:rFonts w:ascii="Times New Roman" w:hAnsi="Times New Roman" w:cs="Times New Roman"/>
          <w:color w:val="63002F"/>
          <w:sz w:val="22"/>
          <w:szCs w:val="22"/>
        </w:rPr>
      </w:pPr>
      <w:r w:rsidRPr="003D4875">
        <w:rPr>
          <w:rFonts w:ascii="Times New Roman" w:hAnsi="Times New Roman" w:cs="Times New Roman"/>
          <w:color w:val="63002F"/>
          <w:sz w:val="22"/>
          <w:szCs w:val="22"/>
        </w:rPr>
        <w:lastRenderedPageBreak/>
        <w:t>Риски, связанные</w:t>
      </w:r>
      <w:r w:rsidR="00614653" w:rsidRPr="003D4875">
        <w:rPr>
          <w:rFonts w:ascii="Times New Roman" w:hAnsi="Times New Roman" w:cs="Times New Roman"/>
          <w:color w:val="63002F"/>
          <w:sz w:val="22"/>
          <w:szCs w:val="22"/>
        </w:rPr>
        <w:t xml:space="preserve"> с приобретением иностранных ценных бумаг</w:t>
      </w:r>
    </w:p>
    <w:p w:rsidR="00614653" w:rsidRPr="003D4875" w:rsidRDefault="00614653" w:rsidP="00614653">
      <w:pPr>
        <w:rPr>
          <w:szCs w:val="22"/>
        </w:rPr>
      </w:pPr>
      <w:r w:rsidRPr="003D4875">
        <w:rPr>
          <w:szCs w:val="22"/>
        </w:rPr>
        <w:t>Иностранные ценные бумаги могут быть приобретены за рубежом или на российском, в том числе организованном, фондовом рынке. Операциям с иностранными ценными бумагами присущи общие риски, связанные с операциями на рынке ценных бумаг со следующими особенностями.</w:t>
      </w:r>
    </w:p>
    <w:p w:rsidR="00614653" w:rsidRPr="003D4875" w:rsidRDefault="00614653" w:rsidP="00B435AD">
      <w:pPr>
        <w:pStyle w:val="a8"/>
        <w:numPr>
          <w:ilvl w:val="0"/>
          <w:numId w:val="32"/>
        </w:numPr>
        <w:rPr>
          <w:b/>
          <w:i/>
          <w:szCs w:val="22"/>
        </w:rPr>
      </w:pPr>
      <w:r w:rsidRPr="003D4875">
        <w:rPr>
          <w:b/>
          <w:i/>
          <w:szCs w:val="22"/>
        </w:rPr>
        <w:t>Системные риски</w:t>
      </w:r>
    </w:p>
    <w:p w:rsidR="00614653" w:rsidRPr="003D4875" w:rsidRDefault="00614653" w:rsidP="00614653">
      <w:pPr>
        <w:rPr>
          <w:szCs w:val="22"/>
        </w:rPr>
      </w:pPr>
      <w:r w:rsidRPr="003D4875">
        <w:rPr>
          <w:szCs w:val="22"/>
        </w:rPr>
        <w:t xml:space="preserve">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w:t>
      </w:r>
      <w:proofErr w:type="gramStart"/>
      <w:r w:rsidRPr="003D4875">
        <w:rPr>
          <w:szCs w:val="22"/>
        </w:rPr>
        <w:t>развитости финансовой системы страны места нахождения</w:t>
      </w:r>
      <w:proofErr w:type="gramEnd"/>
      <w:r w:rsidRPr="003D4875">
        <w:rPr>
          <w:szCs w:val="22"/>
        </w:rPr>
        <w:t xml:space="preserve"> лица, обязанного по иностранной ценной бумаге.</w:t>
      </w:r>
    </w:p>
    <w:p w:rsidR="00614653" w:rsidRPr="003D4875" w:rsidRDefault="00614653" w:rsidP="00614653">
      <w:pPr>
        <w:rPr>
          <w:szCs w:val="22"/>
        </w:rPr>
      </w:pPr>
      <w:r w:rsidRPr="003D4875">
        <w:rPr>
          <w:szCs w:val="22"/>
        </w:rPr>
        <w:t xml:space="preserve">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w:t>
      </w:r>
      <w:proofErr w:type="gramStart"/>
      <w:r w:rsidRPr="003D4875">
        <w:rPr>
          <w:szCs w:val="22"/>
        </w:rPr>
        <w:t>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roofErr w:type="gramEnd"/>
    </w:p>
    <w:p w:rsidR="00614653" w:rsidRPr="003D4875" w:rsidRDefault="00614653" w:rsidP="00614653">
      <w:pPr>
        <w:rPr>
          <w:szCs w:val="22"/>
        </w:rPr>
      </w:pPr>
      <w:r w:rsidRPr="003D4875">
        <w:rPr>
          <w:szCs w:val="22"/>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 В настоящее время законодательство разрешает российскими инвесторами,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Российской Федерации, а также позволяет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планам Клиента.</w:t>
      </w:r>
    </w:p>
    <w:p w:rsidR="00614653" w:rsidRPr="003D4875" w:rsidRDefault="00614653" w:rsidP="00B435AD">
      <w:pPr>
        <w:pStyle w:val="a8"/>
        <w:numPr>
          <w:ilvl w:val="0"/>
          <w:numId w:val="32"/>
        </w:numPr>
        <w:rPr>
          <w:b/>
          <w:i/>
          <w:szCs w:val="22"/>
        </w:rPr>
      </w:pPr>
      <w:r w:rsidRPr="003D4875">
        <w:rPr>
          <w:b/>
          <w:i/>
          <w:szCs w:val="22"/>
        </w:rPr>
        <w:t>Правовые риски</w:t>
      </w:r>
    </w:p>
    <w:p w:rsidR="00614653" w:rsidRPr="003D4875" w:rsidRDefault="00614653" w:rsidP="00614653">
      <w:pPr>
        <w:rPr>
          <w:szCs w:val="22"/>
        </w:rPr>
      </w:pPr>
      <w:r w:rsidRPr="003D4875">
        <w:rPr>
          <w:szCs w:val="22"/>
        </w:rPr>
        <w:t xml:space="preserve">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 </w:t>
      </w:r>
    </w:p>
    <w:p w:rsidR="00614653" w:rsidRPr="003D4875" w:rsidRDefault="00614653" w:rsidP="00614653">
      <w:pPr>
        <w:rPr>
          <w:szCs w:val="22"/>
        </w:rPr>
      </w:pPr>
      <w:r w:rsidRPr="003D4875">
        <w:rPr>
          <w:szCs w:val="22"/>
        </w:rPr>
        <w:t xml:space="preserve">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w:t>
      </w:r>
      <w:proofErr w:type="gramStart"/>
      <w:r w:rsidRPr="003D4875">
        <w:rPr>
          <w:szCs w:val="22"/>
        </w:rPr>
        <w:t>от</w:t>
      </w:r>
      <w:proofErr w:type="gramEnd"/>
      <w:r w:rsidRPr="003D4875">
        <w:rPr>
          <w:szCs w:val="22"/>
        </w:rPr>
        <w:t xml:space="preserve"> действующих в Российской Федерации. Кроме того, при операциях с иностранными ценными бумагами Клиент в большинстве случаев не сможет полагаться на защиту своих прав и законных интересов российскими уполномоченными органами.</w:t>
      </w:r>
    </w:p>
    <w:p w:rsidR="00614653" w:rsidRPr="003D4875" w:rsidRDefault="00614653" w:rsidP="00B435AD">
      <w:pPr>
        <w:pStyle w:val="a8"/>
        <w:numPr>
          <w:ilvl w:val="0"/>
          <w:numId w:val="32"/>
        </w:numPr>
        <w:rPr>
          <w:b/>
          <w:i/>
          <w:szCs w:val="22"/>
        </w:rPr>
      </w:pPr>
      <w:r w:rsidRPr="003D4875">
        <w:rPr>
          <w:b/>
          <w:i/>
          <w:szCs w:val="22"/>
        </w:rPr>
        <w:t>Раскрытие информации</w:t>
      </w:r>
    </w:p>
    <w:p w:rsidR="00614653" w:rsidRPr="003D4875" w:rsidRDefault="00614653" w:rsidP="00614653">
      <w:pPr>
        <w:rPr>
          <w:szCs w:val="22"/>
        </w:rPr>
      </w:pPr>
      <w:r w:rsidRPr="003D4875">
        <w:rPr>
          <w:szCs w:val="22"/>
        </w:rPr>
        <w:t xml:space="preserve">Российское законодательство допускает раскрытие информации в отношении иностранных ценных бумаг по правилам, действующим за рубежом, и на иностранном, в т.ч. английском языке. </w:t>
      </w:r>
      <w:r w:rsidR="004432B8" w:rsidRPr="003D4875">
        <w:rPr>
          <w:szCs w:val="22"/>
        </w:rPr>
        <w:t>С</w:t>
      </w:r>
      <w:r w:rsidRPr="003D4875">
        <w:rPr>
          <w:szCs w:val="22"/>
        </w:rPr>
        <w:t>ледует оценить свою готовность анализировать информацию на иностранном языке, а также то, понимает ли Клиент отличия между принятыми в Российской Федерации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rsidR="00614653" w:rsidRPr="003D4875" w:rsidRDefault="00614653" w:rsidP="00614653">
      <w:pPr>
        <w:rPr>
          <w:szCs w:val="22"/>
        </w:rPr>
      </w:pPr>
      <w:r w:rsidRPr="003D4875">
        <w:rPr>
          <w:szCs w:val="22"/>
        </w:rPr>
        <w:lastRenderedPageBreak/>
        <w:t xml:space="preserve">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удобства Клиента.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w:t>
      </w:r>
      <w:r w:rsidR="004432B8" w:rsidRPr="003D4875">
        <w:rPr>
          <w:szCs w:val="22"/>
        </w:rPr>
        <w:t>В</w:t>
      </w:r>
      <w:r w:rsidRPr="003D4875">
        <w:rPr>
          <w:szCs w:val="22"/>
        </w:rPr>
        <w:t xml:space="preserve">сегда следует учитывать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 </w:t>
      </w:r>
    </w:p>
    <w:p w:rsidR="005C4C12" w:rsidRPr="003D4875" w:rsidRDefault="00A7731F" w:rsidP="008C02DF">
      <w:pPr>
        <w:pStyle w:val="1"/>
        <w:shd w:val="clear" w:color="auto" w:fill="auto"/>
        <w:spacing w:after="240"/>
        <w:ind w:left="0" w:right="0" w:firstLine="0"/>
        <w:jc w:val="center"/>
        <w:rPr>
          <w:rFonts w:ascii="Times New Roman" w:hAnsi="Times New Roman" w:cs="Times New Roman"/>
          <w:color w:val="63002F"/>
          <w:sz w:val="22"/>
          <w:szCs w:val="22"/>
        </w:rPr>
      </w:pPr>
      <w:r w:rsidRPr="003D4875">
        <w:rPr>
          <w:rFonts w:ascii="Times New Roman" w:hAnsi="Times New Roman" w:cs="Times New Roman"/>
          <w:color w:val="63002F"/>
          <w:sz w:val="22"/>
          <w:szCs w:val="22"/>
        </w:rPr>
        <w:t>Риски, связанные</w:t>
      </w:r>
      <w:r w:rsidR="005C4C12" w:rsidRPr="003D4875">
        <w:rPr>
          <w:rFonts w:ascii="Times New Roman" w:hAnsi="Times New Roman" w:cs="Times New Roman"/>
          <w:color w:val="63002F"/>
          <w:sz w:val="22"/>
          <w:szCs w:val="22"/>
        </w:rPr>
        <w:t xml:space="preserve"> с производными финансовыми инструментами, в том числе базисным активом которых являются ценные бумаги иностранных эмитентов или индексы, рассчитанные по таким ценным бумагам</w:t>
      </w:r>
    </w:p>
    <w:p w:rsidR="005C4C12" w:rsidRPr="003D4875" w:rsidRDefault="005C4C12" w:rsidP="00B435AD">
      <w:pPr>
        <w:pStyle w:val="a8"/>
        <w:numPr>
          <w:ilvl w:val="0"/>
          <w:numId w:val="33"/>
        </w:numPr>
        <w:rPr>
          <w:b/>
          <w:i/>
          <w:szCs w:val="22"/>
        </w:rPr>
      </w:pPr>
      <w:r w:rsidRPr="003D4875">
        <w:rPr>
          <w:b/>
          <w:i/>
          <w:szCs w:val="22"/>
        </w:rPr>
        <w:t>Риски, связанные производными финансовыми инструментами</w:t>
      </w:r>
    </w:p>
    <w:p w:rsidR="005C4C12" w:rsidRPr="003D4875" w:rsidRDefault="005C4C12" w:rsidP="005C4C12">
      <w:pPr>
        <w:rPr>
          <w:szCs w:val="22"/>
        </w:rPr>
      </w:pPr>
      <w:r w:rsidRPr="003D4875">
        <w:rPr>
          <w:szCs w:val="22"/>
        </w:rPr>
        <w:t xml:space="preserve">Данные инструменты (фьючерсы, форварды, опционы, свопы и др.) подходят не всем Клиентам. Более того, некоторые виды производных финансовых инструментов сопряжены с </w:t>
      </w:r>
      <w:proofErr w:type="gramStart"/>
      <w:r w:rsidRPr="003D4875">
        <w:rPr>
          <w:szCs w:val="22"/>
        </w:rPr>
        <w:t>бо́льшим</w:t>
      </w:r>
      <w:proofErr w:type="gramEnd"/>
      <w:r w:rsidRPr="003D4875">
        <w:rPr>
          <w:szCs w:val="22"/>
        </w:rPr>
        <w:t xml:space="preserve"> уровнем риска, чем другие. </w:t>
      </w:r>
    </w:p>
    <w:p w:rsidR="005C4C12" w:rsidRPr="003D4875" w:rsidRDefault="005C4C12" w:rsidP="00FC781A">
      <w:pPr>
        <w:rPr>
          <w:szCs w:val="22"/>
        </w:rPr>
      </w:pPr>
      <w:r w:rsidRPr="003D4875">
        <w:rPr>
          <w:szCs w:val="22"/>
        </w:rPr>
        <w:t xml:space="preserve">Так, продажа опционных контрактов и заключение фьючерсных контрактов, форвардных контрактов и </w:t>
      </w:r>
      <w:proofErr w:type="gramStart"/>
      <w:r w:rsidRPr="003D4875">
        <w:rPr>
          <w:szCs w:val="22"/>
        </w:rPr>
        <w:t>своп-контрактов</w:t>
      </w:r>
      <w:proofErr w:type="gramEnd"/>
      <w:r w:rsidRPr="003D4875">
        <w:rPr>
          <w:szCs w:val="22"/>
        </w:rPr>
        <w:t xml:space="preserve"> при относительно небольших неблагоприятных колебаниях цен на рынке может подвергнуть Клиента риску значительных убытков. </w:t>
      </w:r>
      <w:r w:rsidR="001E633E" w:rsidRPr="003D4875">
        <w:rPr>
          <w:szCs w:val="22"/>
        </w:rPr>
        <w:t>В</w:t>
      </w:r>
      <w:r w:rsidRPr="003D4875">
        <w:rPr>
          <w:szCs w:val="22"/>
        </w:rPr>
        <w:t xml:space="preserve"> случае продажи фьючерсных и форвардных контрактов и продажи опционов на покупку (опционов «</w:t>
      </w:r>
      <w:proofErr w:type="spellStart"/>
      <w:r w:rsidRPr="003D4875">
        <w:rPr>
          <w:szCs w:val="22"/>
        </w:rPr>
        <w:t>колл</w:t>
      </w:r>
      <w:proofErr w:type="spellEnd"/>
      <w:r w:rsidRPr="003D4875">
        <w:rPr>
          <w:szCs w:val="22"/>
        </w:rPr>
        <w:t xml:space="preserve">») </w:t>
      </w:r>
      <w:r w:rsidR="00FC781A" w:rsidRPr="003D4875">
        <w:rPr>
          <w:szCs w:val="22"/>
        </w:rPr>
        <w:t>–</w:t>
      </w:r>
      <w:r w:rsidR="001E633E" w:rsidRPr="003D4875">
        <w:rPr>
          <w:szCs w:val="22"/>
        </w:rPr>
        <w:t xml:space="preserve"> </w:t>
      </w:r>
      <w:r w:rsidRPr="003D4875">
        <w:rPr>
          <w:szCs w:val="22"/>
        </w:rPr>
        <w:t xml:space="preserve">неограниченных убытков. При покупке опционного контракта потери Клиента не превысят величину уплаченных премий, вознаграждения и расходов, связанных с их совершением. </w:t>
      </w:r>
    </w:p>
    <w:p w:rsidR="005C4C12" w:rsidRPr="003D4875" w:rsidRDefault="005C4C12" w:rsidP="005C4C12">
      <w:pPr>
        <w:rPr>
          <w:szCs w:val="22"/>
        </w:rPr>
      </w:pPr>
      <w:r w:rsidRPr="003D4875">
        <w:rPr>
          <w:szCs w:val="22"/>
        </w:rPr>
        <w:t>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rsidR="005C4C12" w:rsidRPr="003D4875" w:rsidRDefault="005C4C12" w:rsidP="005C4C12">
      <w:pPr>
        <w:rPr>
          <w:szCs w:val="22"/>
        </w:rPr>
      </w:pPr>
      <w:r w:rsidRPr="003D4875">
        <w:rPr>
          <w:szCs w:val="22"/>
        </w:rPr>
        <w:t>Настоящ</w:t>
      </w:r>
      <w:r w:rsidR="00FC781A" w:rsidRPr="003D4875">
        <w:rPr>
          <w:szCs w:val="22"/>
        </w:rPr>
        <w:t xml:space="preserve">ий раздел </w:t>
      </w:r>
      <w:r w:rsidR="0083757A" w:rsidRPr="003D4875">
        <w:rPr>
          <w:szCs w:val="22"/>
        </w:rPr>
        <w:t>Д</w:t>
      </w:r>
      <w:r w:rsidR="00FC781A" w:rsidRPr="003D4875">
        <w:rPr>
          <w:szCs w:val="22"/>
        </w:rPr>
        <w:t>екларации</w:t>
      </w:r>
      <w:r w:rsidRPr="003D4875">
        <w:rPr>
          <w:szCs w:val="22"/>
        </w:rPr>
        <w:t xml:space="preserve"> относится также и к производным финансовым инструментам, направленным на снижение рисков других операций на фондовом рынке. Клиенту следует внимательно оценить, как производные финансовые инструменты соотносятся с операциями, по которым есть намерение ограничения рисков, и убедится, что объем позиции на срочном рынке соответствует объему позиции на спот рынке, которую планируется хеджировать. </w:t>
      </w:r>
    </w:p>
    <w:p w:rsidR="007B736E" w:rsidRPr="003D4875" w:rsidRDefault="007B736E" w:rsidP="005C4C12">
      <w:pPr>
        <w:rPr>
          <w:szCs w:val="22"/>
        </w:rPr>
      </w:pPr>
    </w:p>
    <w:p w:rsidR="005C4C12" w:rsidRPr="003D4875" w:rsidRDefault="005C4C12" w:rsidP="00B435AD">
      <w:pPr>
        <w:pStyle w:val="a8"/>
        <w:numPr>
          <w:ilvl w:val="1"/>
          <w:numId w:val="33"/>
        </w:numPr>
        <w:rPr>
          <w:b/>
          <w:i/>
          <w:szCs w:val="22"/>
        </w:rPr>
      </w:pPr>
      <w:r w:rsidRPr="003D4875">
        <w:rPr>
          <w:b/>
          <w:i/>
          <w:szCs w:val="22"/>
        </w:rPr>
        <w:t>Рыночный риск</w:t>
      </w:r>
    </w:p>
    <w:p w:rsidR="005C4C12" w:rsidRPr="003D4875" w:rsidRDefault="005C4C12" w:rsidP="005C4C12">
      <w:pPr>
        <w:rPr>
          <w:szCs w:val="22"/>
        </w:rPr>
      </w:pPr>
      <w:r w:rsidRPr="003D4875">
        <w:rPr>
          <w:szCs w:val="22"/>
        </w:rPr>
        <w:t>Помимо общ</w:t>
      </w:r>
      <w:r w:rsidR="007B736E" w:rsidRPr="003D4875">
        <w:rPr>
          <w:szCs w:val="22"/>
        </w:rPr>
        <w:t>его рыночного (ценового) риска при совершении операций</w:t>
      </w:r>
      <w:r w:rsidRPr="003D4875">
        <w:rPr>
          <w:szCs w:val="22"/>
        </w:rPr>
        <w:t xml:space="preserve"> на рынке ценных бумаг, в случае заключения договоров, являющихся производными финансовыми инструментами,</w:t>
      </w:r>
      <w:r w:rsidR="001E633E" w:rsidRPr="003D4875">
        <w:rPr>
          <w:szCs w:val="22"/>
        </w:rPr>
        <w:t xml:space="preserve"> </w:t>
      </w:r>
      <w:r w:rsidR="007B736E" w:rsidRPr="003D4875">
        <w:rPr>
          <w:szCs w:val="22"/>
        </w:rPr>
        <w:t>возможен</w:t>
      </w:r>
      <w:r w:rsidRPr="003D4875">
        <w:rPr>
          <w:szCs w:val="22"/>
        </w:rPr>
        <w:t xml:space="preserve">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
    <w:p w:rsidR="005C4C12" w:rsidRPr="003D4875" w:rsidRDefault="005C4C12" w:rsidP="005C4C12">
      <w:pPr>
        <w:rPr>
          <w:szCs w:val="22"/>
        </w:rPr>
      </w:pPr>
      <w:r w:rsidRPr="003D4875">
        <w:rPr>
          <w:szCs w:val="22"/>
        </w:rPr>
        <w:t xml:space="preserve">В случае неблагоприятного изменения цены </w:t>
      </w:r>
      <w:r w:rsidR="007B736E" w:rsidRPr="003D4875">
        <w:rPr>
          <w:szCs w:val="22"/>
        </w:rPr>
        <w:t xml:space="preserve">существует вероятность </w:t>
      </w:r>
      <w:r w:rsidRPr="003D4875">
        <w:rPr>
          <w:szCs w:val="22"/>
        </w:rPr>
        <w:t>в сравнительно короткий срок потерять средства, являющиеся обеспечением производных финансовых инструментов. При заключении договоров, являющихся производными финансовыми инструментами, Клиент должен учитывать, что возможность распоряжения активами, являющимися гарантийным обеспечением по таким договорам, ограничена.</w:t>
      </w:r>
    </w:p>
    <w:p w:rsidR="005C4C12" w:rsidRPr="003D4875" w:rsidRDefault="005C4C12" w:rsidP="00B435AD">
      <w:pPr>
        <w:pStyle w:val="a8"/>
        <w:numPr>
          <w:ilvl w:val="1"/>
          <w:numId w:val="33"/>
        </w:numPr>
        <w:rPr>
          <w:b/>
          <w:i/>
          <w:szCs w:val="22"/>
        </w:rPr>
      </w:pPr>
      <w:r w:rsidRPr="003D4875">
        <w:rPr>
          <w:b/>
          <w:i/>
          <w:szCs w:val="22"/>
        </w:rPr>
        <w:t>Ограничение распоряжения средствами, являющимися обеспечением</w:t>
      </w:r>
      <w:r w:rsidR="000160F3" w:rsidRPr="003D4875">
        <w:rPr>
          <w:b/>
          <w:i/>
          <w:szCs w:val="22"/>
        </w:rPr>
        <w:t xml:space="preserve"> </w:t>
      </w:r>
      <w:r w:rsidRPr="003D4875">
        <w:rPr>
          <w:b/>
          <w:i/>
          <w:szCs w:val="22"/>
        </w:rPr>
        <w:t xml:space="preserve">(гарантийным обеспечением) </w:t>
      </w:r>
    </w:p>
    <w:p w:rsidR="005C4C12" w:rsidRPr="003D4875" w:rsidRDefault="005C4C12" w:rsidP="005C4C12">
      <w:pPr>
        <w:rPr>
          <w:szCs w:val="22"/>
        </w:rPr>
      </w:pPr>
      <w:r w:rsidRPr="003D4875">
        <w:rPr>
          <w:szCs w:val="22"/>
        </w:rPr>
        <w:t xml:space="preserve">Имущество (часть имущества), принадлежащее Клиенту, в результате заключения договора, являющегося производным финансовым инструментом, будет являться обеспечением исполнения обязательств по указанному договору и распоряжение им, то есть возможность совершения Клиентом сделок с ним, будет ограничено. Размер обеспечения изменяется в порядке, предусмотренном Регламентом </w:t>
      </w:r>
      <w:r w:rsidRPr="003D4875">
        <w:rPr>
          <w:szCs w:val="22"/>
        </w:rPr>
        <w:lastRenderedPageBreak/>
        <w:t xml:space="preserve">и/или спецификацией соответствующего производного финансового инструмента, и в результате может возникнуть ограничение возможности распоряжения имуществом в большей степени, чем до заключения указанного договора. </w:t>
      </w:r>
    </w:p>
    <w:p w:rsidR="005C4C12" w:rsidRPr="003D4875" w:rsidRDefault="005C4C12" w:rsidP="00B435AD">
      <w:pPr>
        <w:pStyle w:val="a8"/>
        <w:numPr>
          <w:ilvl w:val="1"/>
          <w:numId w:val="33"/>
        </w:numPr>
        <w:rPr>
          <w:b/>
          <w:i/>
          <w:szCs w:val="22"/>
        </w:rPr>
      </w:pPr>
      <w:r w:rsidRPr="003D4875">
        <w:rPr>
          <w:b/>
          <w:i/>
          <w:szCs w:val="22"/>
        </w:rPr>
        <w:t>Риск принудительного закрытия позиции</w:t>
      </w:r>
    </w:p>
    <w:p w:rsidR="005C4C12" w:rsidRPr="003D4875" w:rsidRDefault="005C4C12" w:rsidP="005C4C12">
      <w:pPr>
        <w:rPr>
          <w:szCs w:val="22"/>
        </w:rPr>
      </w:pPr>
      <w:r w:rsidRPr="003D4875">
        <w:rPr>
          <w:szCs w:val="22"/>
        </w:rPr>
        <w:t>Неблагоприятное изменение цены может привести к необходимости внести дополнительные средства для того, чтобы привести гарантийное обеспечение в соответствие с требованиями нормативных актов и Регламента, что должно быть сделано в короткий срок, который может быть недостаточен для Клиента. Брокер в этом случае вправе без дополнительного согласия Клиента «принудительно закрыть позицию», то есть заключить договор, являющийся производным финансовым инструментом, или приобрести ценные бумаги за счет денежных сре</w:t>
      </w:r>
      <w:proofErr w:type="gramStart"/>
      <w:r w:rsidRPr="003D4875">
        <w:rPr>
          <w:szCs w:val="22"/>
        </w:rPr>
        <w:t>дств Кл</w:t>
      </w:r>
      <w:proofErr w:type="gramEnd"/>
      <w:r w:rsidRPr="003D4875">
        <w:rPr>
          <w:szCs w:val="22"/>
        </w:rPr>
        <w:t>иента, или продать ценные бумаги Клиента. Это может быть сделано по существующим, в том числе невыгодным, ценам и привести к возникновению у Клиента убытков. Принудительное закрытие позиции направлено на управление рисками. Клиент может понести значительные убытки, несмотря на то, что после этого изменение цен на финансовые инструменты может принять благоприятное направление и Клиент получили бы доход, если бы позиция Клиента не была закрыта.</w:t>
      </w:r>
    </w:p>
    <w:p w:rsidR="005C4C12" w:rsidRPr="003D4875" w:rsidRDefault="005C4C12" w:rsidP="005C4C12">
      <w:pPr>
        <w:rPr>
          <w:szCs w:val="22"/>
        </w:rPr>
      </w:pPr>
      <w:r w:rsidRPr="003D4875">
        <w:rPr>
          <w:szCs w:val="22"/>
        </w:rPr>
        <w:t>Размер указанных убытков при неблагоприятном стечении обстоятельств может превысить стоимость находящихся в портфеле Клиента активов.</w:t>
      </w:r>
    </w:p>
    <w:p w:rsidR="005C4C12" w:rsidRPr="003D4875" w:rsidRDefault="005C4C12" w:rsidP="00B435AD">
      <w:pPr>
        <w:pStyle w:val="a8"/>
        <w:numPr>
          <w:ilvl w:val="1"/>
          <w:numId w:val="33"/>
        </w:numPr>
        <w:rPr>
          <w:b/>
          <w:i/>
          <w:szCs w:val="22"/>
        </w:rPr>
      </w:pPr>
      <w:r w:rsidRPr="003D4875">
        <w:rPr>
          <w:b/>
          <w:i/>
          <w:szCs w:val="22"/>
        </w:rPr>
        <w:t>Риск ликвидности</w:t>
      </w:r>
    </w:p>
    <w:p w:rsidR="005C4C12" w:rsidRPr="003D4875" w:rsidRDefault="005C4C12" w:rsidP="005C4C12">
      <w:pPr>
        <w:rPr>
          <w:szCs w:val="22"/>
        </w:rPr>
      </w:pPr>
      <w:r w:rsidRPr="003D4875">
        <w:rPr>
          <w:szCs w:val="22"/>
        </w:rPr>
        <w:t>Трудности с закрытием позиций и потери в цене могут привести к увеличению убытков от производных финансовых инструментов по сравнению с обычными сделками.</w:t>
      </w:r>
      <w:r w:rsidR="000160F3" w:rsidRPr="003D4875">
        <w:rPr>
          <w:szCs w:val="22"/>
        </w:rPr>
        <w:t xml:space="preserve"> </w:t>
      </w:r>
      <w:r w:rsidRPr="003D4875">
        <w:rPr>
          <w:szCs w:val="22"/>
        </w:rPr>
        <w:t>Если инвестиционная стратегия Клиента предусматривает возможность возникновения необходимости закрытия позиции по соответствующему производному финансовому инструменту (или заключения сделки с иным производным финансовым инструментом, которая снижает риск по данному контракту), Клиенту следует обратить внимание на ликвидность соответствующих контрактов, так как закрытие позиций по неликвидным контрактам может привести к значительным убыткам. Клиенту следует обратить, что, как правило, контракты с более отдаленными сроками исполнения менее ликвидны по сравнению с контрактами с близкими сроками исполнения. Если заключенный Клиентом договор, являющийся производным финансовым инструментом, неликвиден, и у Клиента возникла необходимость закрыть позицию, Клиенту следует обязательно рассматривать помимо закрытия позиции по данному производному финансовому инструменту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rsidR="005C4C12" w:rsidRPr="003D4875" w:rsidRDefault="005C4C12" w:rsidP="005C4C12">
      <w:pPr>
        <w:rPr>
          <w:szCs w:val="22"/>
        </w:rPr>
      </w:pPr>
      <w:r w:rsidRPr="003D4875">
        <w:rPr>
          <w:szCs w:val="22"/>
        </w:rPr>
        <w:t xml:space="preserve">Поручения Клиента, направленные на ограничения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Клиентом цене может оказаться невозможным. </w:t>
      </w:r>
    </w:p>
    <w:p w:rsidR="005C4C12" w:rsidRPr="003D4875" w:rsidRDefault="005C4C12" w:rsidP="00B435AD">
      <w:pPr>
        <w:pStyle w:val="a8"/>
        <w:numPr>
          <w:ilvl w:val="0"/>
          <w:numId w:val="33"/>
        </w:numPr>
        <w:rPr>
          <w:b/>
          <w:i/>
          <w:szCs w:val="22"/>
        </w:rPr>
      </w:pPr>
      <w:r w:rsidRPr="003D4875">
        <w:rPr>
          <w:b/>
          <w:i/>
          <w:szCs w:val="22"/>
        </w:rPr>
        <w:t>Риски, обусловленные иностранным происхождением базисного актива</w:t>
      </w:r>
    </w:p>
    <w:p w:rsidR="005C4C12" w:rsidRPr="003D4875" w:rsidRDefault="005C4C12" w:rsidP="005C4C12">
      <w:pPr>
        <w:rPr>
          <w:szCs w:val="22"/>
        </w:rPr>
      </w:pPr>
      <w:r w:rsidRPr="003D4875">
        <w:rPr>
          <w:szCs w:val="22"/>
        </w:rPr>
        <w:t>Операции с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влекут также риски, связанные с иностранным происхождением базисного актива.</w:t>
      </w:r>
    </w:p>
    <w:p w:rsidR="005C4C12" w:rsidRPr="003D4875" w:rsidRDefault="005C4C12" w:rsidP="00B435AD">
      <w:pPr>
        <w:pStyle w:val="a8"/>
        <w:numPr>
          <w:ilvl w:val="1"/>
          <w:numId w:val="33"/>
        </w:numPr>
        <w:rPr>
          <w:b/>
          <w:i/>
          <w:szCs w:val="22"/>
        </w:rPr>
      </w:pPr>
      <w:r w:rsidRPr="003D4875">
        <w:rPr>
          <w:b/>
          <w:i/>
          <w:szCs w:val="22"/>
        </w:rPr>
        <w:t>Системные риски</w:t>
      </w:r>
    </w:p>
    <w:p w:rsidR="005C4C12" w:rsidRPr="003D4875" w:rsidRDefault="005C4C12" w:rsidP="005C4C12">
      <w:pPr>
        <w:rPr>
          <w:szCs w:val="22"/>
        </w:rPr>
      </w:pPr>
      <w:r w:rsidRPr="003D4875">
        <w:rPr>
          <w:szCs w:val="22"/>
        </w:rPr>
        <w:t xml:space="preserve">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w:t>
      </w:r>
      <w:r w:rsidRPr="003D4875">
        <w:rPr>
          <w:szCs w:val="22"/>
        </w:rPr>
        <w:lastRenderedPageBreak/>
        <w:t xml:space="preserve">состояние государственных финансов, наличие и степень </w:t>
      </w:r>
      <w:proofErr w:type="gramStart"/>
      <w:r w:rsidRPr="003D4875">
        <w:rPr>
          <w:szCs w:val="22"/>
        </w:rPr>
        <w:t>развитости финансовой системы страны места нахождения</w:t>
      </w:r>
      <w:proofErr w:type="gramEnd"/>
      <w:r w:rsidRPr="003D4875">
        <w:rPr>
          <w:szCs w:val="22"/>
        </w:rPr>
        <w:t xml:space="preserve"> лица, обязанного по иностранным ценным бумагам.</w:t>
      </w:r>
    </w:p>
    <w:p w:rsidR="005C4C12" w:rsidRPr="003D4875" w:rsidRDefault="005C4C12" w:rsidP="005C4C12">
      <w:pPr>
        <w:rPr>
          <w:szCs w:val="22"/>
        </w:rPr>
      </w:pPr>
      <w:r w:rsidRPr="003D4875">
        <w:rPr>
          <w:szCs w:val="22"/>
        </w:rPr>
        <w:t xml:space="preserve">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w:t>
      </w:r>
      <w:proofErr w:type="gramStart"/>
      <w:r w:rsidRPr="003D4875">
        <w:rPr>
          <w:szCs w:val="22"/>
        </w:rPr>
        <w:t>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IBCA, однако Клиенту следует иметь в виду, что рейтинги являются лишь ориентирами и могут в конкретный момент не соответствовать реальной ситуации.</w:t>
      </w:r>
      <w:proofErr w:type="gramEnd"/>
    </w:p>
    <w:p w:rsidR="005C4C12" w:rsidRPr="003D4875" w:rsidRDefault="005C4C12" w:rsidP="005C4C12">
      <w:pPr>
        <w:rPr>
          <w:szCs w:val="22"/>
        </w:rPr>
      </w:pPr>
      <w:r w:rsidRPr="003D4875">
        <w:rPr>
          <w:szCs w:val="22"/>
        </w:rPr>
        <w:t>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Вашим планам.</w:t>
      </w:r>
    </w:p>
    <w:p w:rsidR="005C4C12" w:rsidRPr="003D4875" w:rsidRDefault="005C4C12" w:rsidP="00B435AD">
      <w:pPr>
        <w:pStyle w:val="a8"/>
        <w:numPr>
          <w:ilvl w:val="1"/>
          <w:numId w:val="33"/>
        </w:numPr>
        <w:rPr>
          <w:b/>
          <w:i/>
          <w:szCs w:val="22"/>
        </w:rPr>
      </w:pPr>
      <w:r w:rsidRPr="003D4875">
        <w:rPr>
          <w:b/>
          <w:i/>
          <w:szCs w:val="22"/>
        </w:rPr>
        <w:t>Правовые риски</w:t>
      </w:r>
    </w:p>
    <w:p w:rsidR="005C4C12" w:rsidRPr="003D4875" w:rsidRDefault="005C4C12" w:rsidP="005C4C12">
      <w:pPr>
        <w:rPr>
          <w:szCs w:val="22"/>
        </w:rPr>
      </w:pPr>
      <w:r w:rsidRPr="003D4875">
        <w:rPr>
          <w:szCs w:val="22"/>
        </w:rPr>
        <w:t xml:space="preserve">Клиенту 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 </w:t>
      </w:r>
    </w:p>
    <w:p w:rsidR="005C4C12" w:rsidRPr="003D4875" w:rsidRDefault="005C4C12" w:rsidP="005C4C12">
      <w:pPr>
        <w:rPr>
          <w:szCs w:val="22"/>
        </w:rPr>
      </w:pPr>
      <w:r w:rsidRPr="003D4875">
        <w:rPr>
          <w:szCs w:val="22"/>
        </w:rPr>
        <w:t xml:space="preserve">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w:t>
      </w:r>
      <w:proofErr w:type="gramStart"/>
      <w:r w:rsidRPr="003D4875">
        <w:rPr>
          <w:szCs w:val="22"/>
        </w:rPr>
        <w:t>от</w:t>
      </w:r>
      <w:proofErr w:type="gramEnd"/>
      <w:r w:rsidRPr="003D4875">
        <w:rPr>
          <w:szCs w:val="22"/>
        </w:rPr>
        <w:t xml:space="preserve"> действующих в Российской Федерации. Кроме того, Клиент в большинстве случаев не сможет полагаться на защиту своих прав и законных интересов российскими уполномоченными органами.</w:t>
      </w:r>
    </w:p>
    <w:p w:rsidR="005C4C12" w:rsidRPr="003D4875" w:rsidRDefault="005C4C12" w:rsidP="00B435AD">
      <w:pPr>
        <w:pStyle w:val="a8"/>
        <w:numPr>
          <w:ilvl w:val="1"/>
          <w:numId w:val="33"/>
        </w:numPr>
        <w:rPr>
          <w:b/>
          <w:i/>
          <w:szCs w:val="22"/>
        </w:rPr>
      </w:pPr>
      <w:r w:rsidRPr="003D4875">
        <w:rPr>
          <w:b/>
          <w:i/>
          <w:szCs w:val="22"/>
        </w:rPr>
        <w:t>Раскрытие информации</w:t>
      </w:r>
    </w:p>
    <w:p w:rsidR="005C4C12" w:rsidRPr="003D4875" w:rsidRDefault="005C4C12" w:rsidP="005C4C12">
      <w:pPr>
        <w:rPr>
          <w:szCs w:val="22"/>
        </w:rPr>
      </w:pPr>
      <w:r w:rsidRPr="003D4875">
        <w:rPr>
          <w:szCs w:val="22"/>
        </w:rPr>
        <w:t xml:space="preserve">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иностранном, в т.ч. английском языке. Клиенту следует оценить свою готовность анализировать информацию на иностранном языке, а также то, понимает ли Клиент отличия между принятыми в Российской Федерации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 </w:t>
      </w:r>
    </w:p>
    <w:p w:rsidR="005C4C12" w:rsidRPr="003D4875" w:rsidRDefault="005C4C12" w:rsidP="005C4C12">
      <w:pPr>
        <w:rPr>
          <w:szCs w:val="22"/>
        </w:rPr>
      </w:pPr>
      <w:r w:rsidRPr="003D4875">
        <w:rPr>
          <w:szCs w:val="22"/>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удобства Клиента.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Клиенту всегда следует учитывать вероятность ошибок переводчика, в том числе</w:t>
      </w:r>
      <w:r w:rsidR="000160F3" w:rsidRPr="003D4875">
        <w:rPr>
          <w:szCs w:val="22"/>
        </w:rPr>
        <w:t xml:space="preserve"> </w:t>
      </w:r>
      <w:r w:rsidRPr="003D4875">
        <w:rPr>
          <w:szCs w:val="22"/>
        </w:rPr>
        <w:t>связанных с возможным различным переводом одних и тех же иностранных слов и фраз или отсутствием общепринятого русского эквивалента.</w:t>
      </w:r>
    </w:p>
    <w:p w:rsidR="005660A5" w:rsidRPr="003D4875" w:rsidRDefault="005660A5" w:rsidP="005C4C12">
      <w:pPr>
        <w:rPr>
          <w:szCs w:val="22"/>
        </w:rPr>
      </w:pPr>
    </w:p>
    <w:p w:rsidR="005660A5" w:rsidRPr="003D4875" w:rsidRDefault="005660A5" w:rsidP="005C4C12">
      <w:pPr>
        <w:rPr>
          <w:b/>
          <w:szCs w:val="22"/>
        </w:rPr>
      </w:pPr>
      <w:r w:rsidRPr="003D4875">
        <w:rPr>
          <w:b/>
          <w:color w:val="63002F"/>
          <w:szCs w:val="22"/>
        </w:rPr>
        <w:t>Заключительные положения</w:t>
      </w:r>
    </w:p>
    <w:p w:rsidR="00ED6C93" w:rsidRPr="003D4875" w:rsidRDefault="00ED6C93" w:rsidP="00614653">
      <w:pPr>
        <w:rPr>
          <w:szCs w:val="22"/>
        </w:rPr>
      </w:pPr>
    </w:p>
    <w:p w:rsidR="00A74BE5" w:rsidRPr="003D4875" w:rsidRDefault="00427593" w:rsidP="00ED6C93">
      <w:pPr>
        <w:rPr>
          <w:szCs w:val="22"/>
        </w:rPr>
      </w:pPr>
      <w:r w:rsidRPr="003D4875">
        <w:rPr>
          <w:szCs w:val="22"/>
        </w:rPr>
        <w:t xml:space="preserve">Компания информирует Клиента о существовании операционных рисков, связанных  с условиями заключенного с Клиентом Договора, которым предусмотрена возможность заключения Компанией в интересах Клиента сделок, объем которых превышает (существенно превышает) стоимость активов </w:t>
      </w:r>
      <w:r w:rsidRPr="003D4875">
        <w:rPr>
          <w:szCs w:val="22"/>
        </w:rPr>
        <w:lastRenderedPageBreak/>
        <w:t xml:space="preserve">Клиента (маржинальные, необеспеченные сделки, сделки с производными финансовыми инструментами, сделки с иностранной валютой и т.д.). </w:t>
      </w:r>
    </w:p>
    <w:p w:rsidR="00AB43D6" w:rsidRPr="003D4875" w:rsidRDefault="00427593" w:rsidP="00ED6C93">
      <w:pPr>
        <w:rPr>
          <w:szCs w:val="22"/>
        </w:rPr>
      </w:pPr>
      <w:proofErr w:type="gramStart"/>
      <w:r w:rsidRPr="003D4875">
        <w:rPr>
          <w:szCs w:val="22"/>
        </w:rPr>
        <w:t>Перед подачей Компании поручений, Клиент (в том числе и Клиент, заключивший с Компанией договор на ведение индивидуального инвестиционного счета) должен внимательно изучить предоставленную ему Компанией отчетность, иную информацию, предоставляемую Компанией в рамках Договора, оценить объем своих активов и свою готовность к заключению каждой сделки</w:t>
      </w:r>
      <w:r w:rsidR="00170BB4" w:rsidRPr="003D4875">
        <w:rPr>
          <w:szCs w:val="22"/>
        </w:rPr>
        <w:t xml:space="preserve"> в рамках Договора</w:t>
      </w:r>
      <w:r w:rsidRPr="003D4875">
        <w:rPr>
          <w:szCs w:val="22"/>
        </w:rPr>
        <w:t>, включая возникающие при этом риски</w:t>
      </w:r>
      <w:r w:rsidR="00170BB4" w:rsidRPr="003D4875">
        <w:rPr>
          <w:szCs w:val="22"/>
        </w:rPr>
        <w:t>.</w:t>
      </w:r>
      <w:proofErr w:type="gramEnd"/>
    </w:p>
    <w:p w:rsidR="00A74BE5" w:rsidRPr="003D4875" w:rsidRDefault="00A74BE5" w:rsidP="00ED6C93">
      <w:pPr>
        <w:rPr>
          <w:szCs w:val="22"/>
        </w:rPr>
      </w:pPr>
      <w:r w:rsidRPr="003D4875">
        <w:rPr>
          <w:szCs w:val="22"/>
        </w:rPr>
        <w:t xml:space="preserve">Ошибочная оценка своих активов и повышенные риски указанных сделок, могут привести Клиента к убыткам, в том числе и к убыткам, объем которых превышает объем активов Клиента, учитываемых в рамках Договора. </w:t>
      </w:r>
    </w:p>
    <w:p w:rsidR="006746DD" w:rsidRPr="003D4875" w:rsidRDefault="007B3FB6" w:rsidP="006746DD">
      <w:pPr>
        <w:rPr>
          <w:szCs w:val="22"/>
        </w:rPr>
      </w:pPr>
      <w:r w:rsidRPr="003D4875">
        <w:rPr>
          <w:szCs w:val="22"/>
        </w:rPr>
        <w:t xml:space="preserve">Клиент проинформирован и осознает, что обязательства по урегулированию таких убытков, в том числе возмещение Компании понесенных расходов, остаются на Клиенте, если Компания совершила сделку, приведшую к убыткам Клиента, в соответствии с поручением Клиента и положениями </w:t>
      </w:r>
      <w:r w:rsidR="003247C5" w:rsidRPr="003D4875">
        <w:rPr>
          <w:szCs w:val="22"/>
        </w:rPr>
        <w:t>Регламента</w:t>
      </w:r>
      <w:r w:rsidR="006746DD" w:rsidRPr="003D4875">
        <w:rPr>
          <w:szCs w:val="22"/>
        </w:rPr>
        <w:t xml:space="preserve">. </w:t>
      </w:r>
    </w:p>
    <w:p w:rsidR="00025EAB" w:rsidRPr="003D4875" w:rsidRDefault="003247C5" w:rsidP="00025EAB">
      <w:pPr>
        <w:rPr>
          <w:rFonts w:eastAsiaTheme="minorHAnsi"/>
          <w:szCs w:val="22"/>
        </w:rPr>
      </w:pPr>
      <w:r w:rsidRPr="003D4875">
        <w:rPr>
          <w:szCs w:val="22"/>
        </w:rPr>
        <w:t>Компания также информирует Клиента о рисках, связанных с использованием клиринговых счетов и специальных брокерских счетов, открытых Компанией для учета имущества и/или обязательств нескольких Кли</w:t>
      </w:r>
      <w:r w:rsidR="007B3FB6" w:rsidRPr="003D4875">
        <w:rPr>
          <w:szCs w:val="22"/>
        </w:rPr>
        <w:t>ент</w:t>
      </w:r>
      <w:r w:rsidRPr="003D4875">
        <w:rPr>
          <w:szCs w:val="22"/>
        </w:rPr>
        <w:t>ов Компании</w:t>
      </w:r>
      <w:r w:rsidR="007B3FB6" w:rsidRPr="003D4875">
        <w:rPr>
          <w:szCs w:val="22"/>
        </w:rPr>
        <w:t>.</w:t>
      </w:r>
      <w:r w:rsidRPr="003D4875">
        <w:rPr>
          <w:szCs w:val="22"/>
        </w:rPr>
        <w:t xml:space="preserve"> </w:t>
      </w:r>
      <w:proofErr w:type="gramStart"/>
      <w:r w:rsidRPr="003D4875">
        <w:rPr>
          <w:szCs w:val="22"/>
        </w:rPr>
        <w:t>Отсутствие отдельного учета имущества Клиента, предоставленного в качестве обеспечения, и  обязательств Компании как участника клиринга</w:t>
      </w:r>
      <w:r w:rsidR="006746DD" w:rsidRPr="003D4875">
        <w:rPr>
          <w:szCs w:val="22"/>
        </w:rPr>
        <w:t xml:space="preserve">, возникших из договоров, заключенных за счет Клиента (отсутствие отдельного клирингового счета) или отдельного специального брокерского счета – счета открытого </w:t>
      </w:r>
      <w:r w:rsidR="00AA28A9" w:rsidRPr="003D4875">
        <w:rPr>
          <w:szCs w:val="22"/>
        </w:rPr>
        <w:t>Компанией как Б</w:t>
      </w:r>
      <w:r w:rsidR="006746DD" w:rsidRPr="003D4875">
        <w:rPr>
          <w:szCs w:val="22"/>
        </w:rPr>
        <w:t>рокером в кредитной организации для учета д</w:t>
      </w:r>
      <w:r w:rsidR="006746DD" w:rsidRPr="003D4875">
        <w:rPr>
          <w:rFonts w:eastAsiaTheme="minorHAnsi"/>
          <w:szCs w:val="22"/>
        </w:rPr>
        <w:t xml:space="preserve">енежных средств Клиента, переданных им </w:t>
      </w:r>
      <w:r w:rsidR="00AA28A9" w:rsidRPr="003D4875">
        <w:rPr>
          <w:rFonts w:eastAsiaTheme="minorHAnsi"/>
          <w:szCs w:val="22"/>
        </w:rPr>
        <w:t>Б</w:t>
      </w:r>
      <w:r w:rsidR="006746DD" w:rsidRPr="003D4875">
        <w:rPr>
          <w:rFonts w:eastAsiaTheme="minorHAnsi"/>
          <w:szCs w:val="22"/>
        </w:rPr>
        <w:t>рокеру для совершения сделок с ценными бумагами и (или) заключения договоров, являющихся производными финансовыми</w:t>
      </w:r>
      <w:proofErr w:type="gramEnd"/>
      <w:r w:rsidR="006746DD" w:rsidRPr="003D4875">
        <w:rPr>
          <w:rFonts w:eastAsiaTheme="minorHAnsi"/>
          <w:szCs w:val="22"/>
        </w:rPr>
        <w:t xml:space="preserve"> инструментами, а также денежных средств, полученных </w:t>
      </w:r>
      <w:r w:rsidR="00AA28A9" w:rsidRPr="003D4875">
        <w:rPr>
          <w:rFonts w:eastAsiaTheme="minorHAnsi"/>
          <w:szCs w:val="22"/>
        </w:rPr>
        <w:t>Б</w:t>
      </w:r>
      <w:r w:rsidR="006746DD" w:rsidRPr="003D4875">
        <w:rPr>
          <w:rFonts w:eastAsiaTheme="minorHAnsi"/>
          <w:szCs w:val="22"/>
        </w:rPr>
        <w:t xml:space="preserve">рокером по таким сделкам и (или) таким договорам, которые совершены (заключены) </w:t>
      </w:r>
      <w:r w:rsidR="00AA28A9" w:rsidRPr="003D4875">
        <w:rPr>
          <w:rFonts w:eastAsiaTheme="minorHAnsi"/>
          <w:szCs w:val="22"/>
        </w:rPr>
        <w:t>Б</w:t>
      </w:r>
      <w:r w:rsidR="006746DD" w:rsidRPr="003D4875">
        <w:rPr>
          <w:rFonts w:eastAsiaTheme="minorHAnsi"/>
          <w:szCs w:val="22"/>
        </w:rPr>
        <w:t>рокером на основании договора с Клиентом</w:t>
      </w:r>
      <w:r w:rsidR="00AA28A9" w:rsidRPr="003D4875">
        <w:rPr>
          <w:rFonts w:eastAsiaTheme="minorHAnsi"/>
          <w:szCs w:val="22"/>
        </w:rPr>
        <w:t>, несет риски, в частности, риск вовлечения имущества Клиента в расчеты по обязательствам других Клиентов Компании. Такой риск может быть обусловлен  недостаточностью имущества других Клиентов для расчета по их обязательствам или операционными ошибками.</w:t>
      </w:r>
      <w:r w:rsidR="00025EAB" w:rsidRPr="003D4875">
        <w:rPr>
          <w:rFonts w:eastAsiaTheme="minorHAnsi"/>
          <w:szCs w:val="22"/>
        </w:rPr>
        <w:t xml:space="preserve"> </w:t>
      </w:r>
    </w:p>
    <w:p w:rsidR="00025EAB" w:rsidRPr="003D4875" w:rsidRDefault="00025EAB" w:rsidP="00025EAB">
      <w:pPr>
        <w:rPr>
          <w:szCs w:val="22"/>
        </w:rPr>
      </w:pPr>
      <w:r w:rsidRPr="003D4875">
        <w:rPr>
          <w:szCs w:val="22"/>
        </w:rPr>
        <w:t xml:space="preserve">Компания информирует Клиента о возможности существования (возникновения) рисков, связанных с конфликтом интересов. </w:t>
      </w:r>
      <w:proofErr w:type="gramStart"/>
      <w:r w:rsidRPr="003D4875">
        <w:rPr>
          <w:szCs w:val="22"/>
        </w:rPr>
        <w:t xml:space="preserve">Конфликт интересов при осуществлении предпринимательской деятельности, профессиональной деятельности на рынке ценных бумаг - противоречие между имущественными и иными интересами Брокера в качестве </w:t>
      </w:r>
      <w:proofErr w:type="spellStart"/>
      <w:r w:rsidRPr="003D4875">
        <w:rPr>
          <w:szCs w:val="22"/>
        </w:rPr>
        <w:t>некредитной</w:t>
      </w:r>
      <w:proofErr w:type="spellEnd"/>
      <w:r w:rsidRPr="003D4875">
        <w:rPr>
          <w:szCs w:val="22"/>
        </w:rPr>
        <w:t xml:space="preserve"> организации и профессионального участника рынка ценных бумаг и/или его сотрудников, и Клиента Брокера, в результате которого действия/бездействие Брокера и/или его сотрудников причиняют убытки Клиенту и/или влекут иные неблагоприятные последствия для Клиента. </w:t>
      </w:r>
      <w:proofErr w:type="gramEnd"/>
    </w:p>
    <w:p w:rsidR="00025EAB" w:rsidRPr="003D4875" w:rsidRDefault="00025EAB" w:rsidP="00025EAB">
      <w:pPr>
        <w:ind w:firstLine="708"/>
        <w:rPr>
          <w:szCs w:val="22"/>
        </w:rPr>
      </w:pPr>
      <w:r w:rsidRPr="003D4875">
        <w:rPr>
          <w:szCs w:val="22"/>
        </w:rPr>
        <w:t xml:space="preserve">Брокер настоящим информирует, что вышеупомянутый конфликт интересов между Брокером и Клиентом может возникнуть в результате осуществления следующих действий со стороны Брокера: </w:t>
      </w:r>
    </w:p>
    <w:p w:rsidR="00025EAB" w:rsidRPr="003D4875" w:rsidRDefault="00025EAB" w:rsidP="00025EAB">
      <w:pPr>
        <w:ind w:firstLine="708"/>
        <w:rPr>
          <w:szCs w:val="22"/>
        </w:rPr>
      </w:pPr>
      <w:r w:rsidRPr="003D4875">
        <w:rPr>
          <w:szCs w:val="22"/>
        </w:rPr>
        <w:t>- осуществление операций (сделок) на рынке ценных бумаг и (или) операций с производными финансовыми инструментами по Поручению Клиентов;</w:t>
      </w:r>
    </w:p>
    <w:p w:rsidR="00D3257A" w:rsidRPr="003D4875" w:rsidRDefault="00025EAB" w:rsidP="00025EAB">
      <w:pPr>
        <w:ind w:firstLine="708"/>
        <w:rPr>
          <w:szCs w:val="22"/>
        </w:rPr>
      </w:pPr>
      <w:r w:rsidRPr="003D4875">
        <w:rPr>
          <w:szCs w:val="22"/>
        </w:rPr>
        <w:t>- осуществление Брокером функций андеррайтера с одной стороны и функций агента по реализации выпущенных ценных бумаг с другой стороны одновременно. </w:t>
      </w:r>
    </w:p>
    <w:p w:rsidR="00D3257A" w:rsidRPr="003D4875" w:rsidRDefault="00D3257A" w:rsidP="00D3257A">
      <w:pPr>
        <w:pStyle w:val="210"/>
        <w:spacing w:before="0" w:after="0"/>
        <w:ind w:firstLine="708"/>
        <w:jc w:val="both"/>
        <w:rPr>
          <w:rFonts w:ascii="Times New Roman" w:eastAsia="Times New Roman" w:hAnsi="Times New Roman"/>
          <w:b w:val="0"/>
          <w:sz w:val="22"/>
          <w:szCs w:val="22"/>
        </w:rPr>
      </w:pPr>
      <w:r w:rsidRPr="003D4875">
        <w:rPr>
          <w:rFonts w:ascii="Times New Roman" w:eastAsia="Times New Roman" w:hAnsi="Times New Roman"/>
          <w:b w:val="0"/>
          <w:sz w:val="22"/>
          <w:szCs w:val="22"/>
        </w:rPr>
        <w:t>Компания осуществляет мероприятия, направленные на предотвращение конфликта интересов, которые приведены во внутреннем документе Компании (</w:t>
      </w:r>
      <w:proofErr w:type="gramStart"/>
      <w:r w:rsidRPr="003D4875">
        <w:rPr>
          <w:rFonts w:ascii="Times New Roman" w:eastAsia="Times New Roman" w:hAnsi="Times New Roman"/>
          <w:b w:val="0"/>
          <w:sz w:val="22"/>
          <w:szCs w:val="22"/>
        </w:rPr>
        <w:t>опубликован</w:t>
      </w:r>
      <w:proofErr w:type="gramEnd"/>
      <w:r w:rsidRPr="003D4875">
        <w:rPr>
          <w:rFonts w:ascii="Times New Roman" w:eastAsia="Times New Roman" w:hAnsi="Times New Roman"/>
          <w:b w:val="0"/>
          <w:sz w:val="22"/>
          <w:szCs w:val="22"/>
        </w:rPr>
        <w:t xml:space="preserve"> на </w:t>
      </w:r>
      <w:r w:rsidRPr="003D4875">
        <w:rPr>
          <w:rFonts w:ascii="Times New Roman" w:eastAsia="Times New Roman" w:hAnsi="Times New Roman"/>
          <w:b w:val="0"/>
          <w:sz w:val="22"/>
          <w:szCs w:val="22"/>
          <w:lang w:val="en-US"/>
        </w:rPr>
        <w:t>WEB</w:t>
      </w:r>
      <w:r w:rsidRPr="003D4875">
        <w:rPr>
          <w:rFonts w:ascii="Times New Roman" w:eastAsia="Times New Roman" w:hAnsi="Times New Roman"/>
          <w:b w:val="0"/>
          <w:sz w:val="22"/>
          <w:szCs w:val="22"/>
        </w:rPr>
        <w:t>-сайте Компании) - Перечне мер направленных на предотвращение конфликта интересов при осуществлении профессиональной деятельности на рынке ценных бумаг.</w:t>
      </w:r>
    </w:p>
    <w:p w:rsidR="00025EAB" w:rsidRPr="003D4875" w:rsidRDefault="00025EAB" w:rsidP="00025EAB">
      <w:pPr>
        <w:ind w:firstLine="708"/>
        <w:rPr>
          <w:szCs w:val="22"/>
        </w:rPr>
      </w:pPr>
      <w:r w:rsidRPr="003D4875">
        <w:rPr>
          <w:szCs w:val="22"/>
        </w:rPr>
        <w:t xml:space="preserve"> </w:t>
      </w:r>
    </w:p>
    <w:p w:rsidR="00ED6C93" w:rsidRPr="003D4875" w:rsidRDefault="00ED6C93" w:rsidP="00ED6C93">
      <w:pPr>
        <w:rPr>
          <w:szCs w:val="22"/>
        </w:rPr>
      </w:pPr>
      <w:r w:rsidRPr="003D4875">
        <w:rPr>
          <w:szCs w:val="22"/>
        </w:rPr>
        <w:t xml:space="preserve">Данная Декларация не имеет своей целью заставить отказаться Клиента от осуществления операций на рынке ценных бумаг, а призвана помочь оценить риски и ответственно подойти к решению вопроса о выборе инвестиционной стратегии и условий Договора, и, при необходимости получить соответствующие разъяснения у Брокера или консультанта, специализирующегося на соответствующих вопросах. </w:t>
      </w:r>
    </w:p>
    <w:p w:rsidR="00ED6C93" w:rsidRPr="003D4875" w:rsidRDefault="00ED6C93" w:rsidP="00ED6C93">
      <w:pPr>
        <w:rPr>
          <w:b/>
          <w:szCs w:val="22"/>
        </w:rPr>
      </w:pPr>
    </w:p>
    <w:p w:rsidR="004D4A36" w:rsidRPr="003D4875" w:rsidRDefault="004D4A36" w:rsidP="004D4A36">
      <w:pPr>
        <w:rPr>
          <w:b/>
          <w:szCs w:val="22"/>
        </w:rPr>
      </w:pPr>
      <w:r w:rsidRPr="003D4875">
        <w:rPr>
          <w:b/>
          <w:szCs w:val="22"/>
        </w:rPr>
        <w:t>Клиент понимает и признает, что никакая информация, полученная у Компан</w:t>
      </w:r>
      <w:proofErr w:type="gramStart"/>
      <w:r w:rsidRPr="003D4875">
        <w:rPr>
          <w:b/>
          <w:szCs w:val="22"/>
        </w:rPr>
        <w:t>ии и её</w:t>
      </w:r>
      <w:proofErr w:type="gramEnd"/>
      <w:r w:rsidRPr="003D4875">
        <w:rPr>
          <w:b/>
          <w:szCs w:val="22"/>
        </w:rPr>
        <w:t xml:space="preserve"> официальных представителей, не может являться рекомендацией для совершения сделок купли-продажи акций или других финансовых инструментов. Компания не делает никаких заявлений и не дает никаких обещаний и гарантий, что операции по поручению Клиента, включая маржинальные и необеспеченные сделки, обязательно приведут к финансовой прибыли или к убытку, или к какому-либо другому желаемому результату.</w:t>
      </w:r>
    </w:p>
    <w:p w:rsidR="00614653" w:rsidRPr="003D4875" w:rsidRDefault="004D4A36" w:rsidP="00A7731F">
      <w:pPr>
        <w:rPr>
          <w:b/>
          <w:szCs w:val="22"/>
        </w:rPr>
      </w:pPr>
      <w:r w:rsidRPr="003D4875">
        <w:rPr>
          <w:b/>
          <w:szCs w:val="22"/>
        </w:rPr>
        <w:t>Клиент настоящим подтверждает, что он проинформирован о рисках, связанных с осуществлением сделок на рынке ценных бумаг, срочном рынке и валютном рынке, включая риски, связанные с маржинальными и необеспеченными сделками; рисках связанных с использованием специального брокерского счета (счетов) и использованием Компанией денежных средств Клиента и принимает на себя все возможные риски, включая (</w:t>
      </w:r>
      <w:proofErr w:type="gramStart"/>
      <w:r w:rsidRPr="003D4875">
        <w:rPr>
          <w:b/>
          <w:szCs w:val="22"/>
        </w:rPr>
        <w:t>но</w:t>
      </w:r>
      <w:proofErr w:type="gramEnd"/>
      <w:r w:rsidRPr="003D4875">
        <w:rPr>
          <w:b/>
          <w:szCs w:val="22"/>
        </w:rPr>
        <w:t xml:space="preserve"> не ограничиваясь) риски финансовых потерь. Компания не в состоянии предусмотреть и предупредить Клиента обо всех возможных рисках. Клиент снимает с Компании всякую ответственность при возникновении этих рисков.</w:t>
      </w:r>
    </w:p>
    <w:p w:rsidR="004C25FC" w:rsidRPr="003D4875" w:rsidRDefault="004C25FC" w:rsidP="00A7731F">
      <w:pPr>
        <w:rPr>
          <w:b/>
          <w:szCs w:val="22"/>
        </w:rPr>
      </w:pPr>
      <w:r w:rsidRPr="003D4875">
        <w:rPr>
          <w:b/>
          <w:szCs w:val="22"/>
        </w:rPr>
        <w:t>Клиент и Компания признают факт подписания настоящей Деклара</w:t>
      </w:r>
      <w:r w:rsidR="003E2D8C" w:rsidRPr="003D4875">
        <w:rPr>
          <w:b/>
          <w:szCs w:val="22"/>
        </w:rPr>
        <w:t>ции Клиентом путем присоединения Клиента к Регламенту и подписания им Договора об оказании услуг на финансовых рынках по форме, установленной Регламентом.</w:t>
      </w:r>
    </w:p>
    <w:p w:rsidR="003E2D8C" w:rsidRPr="00025EAB" w:rsidRDefault="003E2D8C" w:rsidP="00A7731F">
      <w:pPr>
        <w:rPr>
          <w:b/>
          <w:szCs w:val="22"/>
        </w:rPr>
      </w:pPr>
      <w:r w:rsidRPr="003D4875">
        <w:rPr>
          <w:b/>
          <w:szCs w:val="22"/>
        </w:rPr>
        <w:t xml:space="preserve">В последующем Клиент и Компания соглашаются признавать в качестве подписанной Клиентом </w:t>
      </w:r>
      <w:r w:rsidR="00B7289C" w:rsidRPr="003D4875">
        <w:rPr>
          <w:b/>
          <w:szCs w:val="22"/>
        </w:rPr>
        <w:t xml:space="preserve">измененную </w:t>
      </w:r>
      <w:r w:rsidRPr="003D4875">
        <w:rPr>
          <w:b/>
          <w:szCs w:val="22"/>
        </w:rPr>
        <w:t>редакци</w:t>
      </w:r>
      <w:r w:rsidR="00B7289C" w:rsidRPr="003D4875">
        <w:rPr>
          <w:b/>
          <w:szCs w:val="22"/>
        </w:rPr>
        <w:t>ю Декларации, если такие изменения осуществлены в порядке, установленном Регламентом. Измененная редакция Декларации действует с момента вступления в силу измененной редакции Регламента, которой устанавливается измененная редакция Декларации.</w:t>
      </w:r>
      <w:bookmarkStart w:id="0" w:name="_GoBack"/>
      <w:bookmarkEnd w:id="0"/>
      <w:r w:rsidR="00B7289C" w:rsidRPr="00025EAB">
        <w:rPr>
          <w:b/>
          <w:szCs w:val="22"/>
        </w:rPr>
        <w:t xml:space="preserve">  </w:t>
      </w:r>
      <w:r w:rsidRPr="00025EAB">
        <w:rPr>
          <w:b/>
          <w:szCs w:val="22"/>
        </w:rPr>
        <w:t xml:space="preserve"> </w:t>
      </w:r>
    </w:p>
    <w:p w:rsidR="004C25FC" w:rsidRPr="00025EAB" w:rsidRDefault="004C25FC" w:rsidP="00A7731F">
      <w:pPr>
        <w:rPr>
          <w:b/>
          <w:szCs w:val="22"/>
        </w:rPr>
      </w:pPr>
    </w:p>
    <w:p w:rsidR="00ED6C93" w:rsidRPr="00025EAB" w:rsidRDefault="00ED6C93" w:rsidP="00A7731F">
      <w:pPr>
        <w:rPr>
          <w:szCs w:val="22"/>
        </w:rPr>
      </w:pPr>
    </w:p>
    <w:sectPr w:rsidR="00ED6C93" w:rsidRPr="00025EAB" w:rsidSect="000629B2">
      <w:headerReference w:type="default" r:id="rId9"/>
      <w:footerReference w:type="default" r:id="rId10"/>
      <w:headerReference w:type="first" r:id="rId11"/>
      <w:footnotePr>
        <w:numRestart w:val="eachPage"/>
      </w:footnotePr>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F7B" w:rsidRDefault="00584F7B" w:rsidP="00CE771C">
      <w:pPr>
        <w:spacing w:line="240" w:lineRule="auto"/>
      </w:pPr>
      <w:r>
        <w:separator/>
      </w:r>
    </w:p>
  </w:endnote>
  <w:endnote w:type="continuationSeparator" w:id="0">
    <w:p w:rsidR="00584F7B" w:rsidRDefault="00584F7B" w:rsidP="00CE7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FreeSetLightC">
    <w:altName w:val="Courier New"/>
    <w:panose1 w:val="00000000000000000000"/>
    <w:charset w:val="CC"/>
    <w:family w:val="modern"/>
    <w:notTrueType/>
    <w:pitch w:val="variable"/>
    <w:sig w:usb0="00000001" w:usb1="1000004A" w:usb2="00000000" w:usb3="00000000" w:csb0="00000005"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etDemiC">
    <w:altName w:val="Arial"/>
    <w:panose1 w:val="00000000000000000000"/>
    <w:charset w:val="CC"/>
    <w:family w:val="modern"/>
    <w:notTrueType/>
    <w:pitch w:val="variable"/>
    <w:sig w:usb0="00000001" w:usb1="1000004A" w:usb2="00000000" w:usb3="00000000" w:csb0="00000005" w:csb1="00000000"/>
  </w:font>
  <w:font w:name="Marlett">
    <w:panose1 w:val="00000000000000000000"/>
    <w:charset w:val="02"/>
    <w:family w:val="auto"/>
    <w:pitch w:val="variable"/>
    <w:sig w:usb0="00000000" w:usb1="10000000" w:usb2="00000000" w:usb3="00000000" w:csb0="80000000" w:csb1="00000000"/>
  </w:font>
  <w:font w:name="FreeSet Light">
    <w:altName w:val="Arial"/>
    <w:panose1 w:val="00000000000000000000"/>
    <w:charset w:val="00"/>
    <w:family w:val="swiss"/>
    <w:notTrueType/>
    <w:pitch w:val="variable"/>
    <w:sig w:usb0="00000001" w:usb1="5000204A" w:usb2="00000000" w:usb3="00000000" w:csb0="00000097" w:csb1="00000000"/>
  </w:font>
  <w:font w:name="FreeSet">
    <w:altName w:val="Times New Roman"/>
    <w:charset w:val="00"/>
    <w:family w:val="auto"/>
    <w:pitch w:val="variable"/>
    <w:sig w:usb0="00000203" w:usb1="00000000" w:usb2="00000000" w:usb3="00000000" w:csb0="00000005" w:csb1="00000000"/>
  </w:font>
  <w:font w:name="FreeSetBookC">
    <w:altName w:val="Arial"/>
    <w:panose1 w:val="00000000000000000000"/>
    <w:charset w:val="00"/>
    <w:family w:val="swiss"/>
    <w:notTrueType/>
    <w:pitch w:val="variable"/>
    <w:sig w:usb0="00000001" w:usb1="10000048" w:usb2="00000000" w:usb3="00000000" w:csb0="0000000F" w:csb1="00000000"/>
  </w:font>
  <w:font w:name="FreeSet Bold">
    <w:altName w:val="Arial"/>
    <w:panose1 w:val="00000000000000000000"/>
    <w:charset w:val="00"/>
    <w:family w:val="swiss"/>
    <w:notTrueType/>
    <w:pitch w:val="variable"/>
    <w:sig w:usb0="00000001" w:usb1="5000204A"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B9A" w:rsidRPr="00A85B14" w:rsidRDefault="00790B9A" w:rsidP="0073399E">
    <w:pPr>
      <w:pStyle w:val="a9"/>
      <w:tabs>
        <w:tab w:val="right" w:pos="10206"/>
      </w:tabs>
      <w:jc w:val="right"/>
      <w:rPr>
        <w:color w:val="63002F"/>
      </w:rPr>
    </w:pPr>
    <w:r w:rsidRPr="00A85B14">
      <w:rPr>
        <w:color w:val="63002F"/>
      </w:rPr>
      <w:fldChar w:fldCharType="begin"/>
    </w:r>
    <w:r w:rsidRPr="00A85B14">
      <w:rPr>
        <w:color w:val="63002F"/>
      </w:rPr>
      <w:instrText xml:space="preserve"> PAGE   \* MERGEFORMAT </w:instrText>
    </w:r>
    <w:r w:rsidRPr="00A85B14">
      <w:rPr>
        <w:color w:val="63002F"/>
      </w:rPr>
      <w:fldChar w:fldCharType="separate"/>
    </w:r>
    <w:r w:rsidR="003D4875">
      <w:rPr>
        <w:noProof/>
        <w:color w:val="63002F"/>
      </w:rPr>
      <w:t>1</w:t>
    </w:r>
    <w:r w:rsidRPr="00A85B14">
      <w:rPr>
        <w:color w:val="63002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F7B" w:rsidRDefault="00584F7B" w:rsidP="00CE771C">
      <w:pPr>
        <w:spacing w:line="240" w:lineRule="auto"/>
      </w:pPr>
      <w:r>
        <w:separator/>
      </w:r>
    </w:p>
  </w:footnote>
  <w:footnote w:type="continuationSeparator" w:id="0">
    <w:p w:rsidR="00584F7B" w:rsidRDefault="00584F7B" w:rsidP="00CE771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0" w:type="auto"/>
      <w:tblInd w:w="-284" w:type="dxa"/>
      <w:tblLook w:val="04A0" w:firstRow="1" w:lastRow="0" w:firstColumn="1" w:lastColumn="0" w:noHBand="0" w:noVBand="1"/>
    </w:tblPr>
    <w:tblGrid>
      <w:gridCol w:w="1952"/>
      <w:gridCol w:w="8752"/>
    </w:tblGrid>
    <w:tr w:rsidR="00790B9A" w:rsidRPr="00C718D9" w:rsidTr="00FB70E5">
      <w:tc>
        <w:tcPr>
          <w:tcW w:w="1952" w:type="dxa"/>
          <w:tcBorders>
            <w:top w:val="nil"/>
            <w:left w:val="nil"/>
            <w:bottom w:val="nil"/>
            <w:right w:val="nil"/>
          </w:tcBorders>
        </w:tcPr>
        <w:p w:rsidR="00790B9A" w:rsidRDefault="00790B9A" w:rsidP="00FB70E5">
          <w:pPr>
            <w:pStyle w:val="a3"/>
            <w:rPr>
              <w:rFonts w:ascii="FreeSet" w:hAnsi="FreeSet"/>
              <w:i/>
              <w:iCs/>
              <w:sz w:val="20"/>
              <w:szCs w:val="20"/>
            </w:rPr>
          </w:pPr>
          <w:r>
            <w:rPr>
              <w:rFonts w:ascii="FreeSet Light" w:hAnsi="FreeSet Light"/>
              <w:i/>
              <w:iCs/>
              <w:noProof/>
            </w:rPr>
            <w:drawing>
              <wp:inline distT="0" distB="0" distL="0" distR="0" wp14:anchorId="68B9FDB6" wp14:editId="424729DA">
                <wp:extent cx="802104" cy="714375"/>
                <wp:effectExtent l="0" t="0" r="0" b="0"/>
                <wp:docPr id="2" name="Рисунок 2" descr="C:\Users\Кирилл\Download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ирилл\Downloads\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975" cy="710698"/>
                        </a:xfrm>
                        <a:prstGeom prst="rect">
                          <a:avLst/>
                        </a:prstGeom>
                        <a:noFill/>
                        <a:ln>
                          <a:noFill/>
                        </a:ln>
                      </pic:spPr>
                    </pic:pic>
                  </a:graphicData>
                </a:graphic>
              </wp:inline>
            </w:drawing>
          </w:r>
        </w:p>
      </w:tc>
      <w:tc>
        <w:tcPr>
          <w:tcW w:w="8752" w:type="dxa"/>
          <w:tcBorders>
            <w:top w:val="nil"/>
            <w:left w:val="nil"/>
            <w:bottom w:val="single" w:sz="4" w:space="0" w:color="auto"/>
            <w:right w:val="nil"/>
          </w:tcBorders>
        </w:tcPr>
        <w:p w:rsidR="00790B9A" w:rsidRPr="00C718D9" w:rsidRDefault="00790B9A" w:rsidP="00145D7D">
          <w:pPr>
            <w:pStyle w:val="a3"/>
            <w:ind w:left="-284"/>
            <w:jc w:val="center"/>
            <w:rPr>
              <w:rFonts w:ascii="FreeSetLightC" w:hAnsi="FreeSetLightC"/>
              <w:iCs/>
              <w:sz w:val="20"/>
              <w:szCs w:val="20"/>
            </w:rPr>
          </w:pPr>
        </w:p>
        <w:p w:rsidR="00790B9A" w:rsidRPr="00025EAB" w:rsidRDefault="00614653" w:rsidP="00FB70E5">
          <w:pPr>
            <w:pStyle w:val="a3"/>
            <w:ind w:left="-284"/>
            <w:jc w:val="right"/>
            <w:rPr>
              <w:iCs/>
              <w:color w:val="63002F"/>
              <w:sz w:val="20"/>
              <w:szCs w:val="20"/>
            </w:rPr>
          </w:pPr>
          <w:r w:rsidRPr="00025EAB">
            <w:rPr>
              <w:iCs/>
              <w:color w:val="63002F"/>
              <w:sz w:val="20"/>
              <w:szCs w:val="20"/>
            </w:rPr>
            <w:t>Приложение</w:t>
          </w:r>
          <w:r w:rsidR="000160F3" w:rsidRPr="00025EAB">
            <w:rPr>
              <w:iCs/>
              <w:color w:val="63002F"/>
              <w:sz w:val="20"/>
              <w:szCs w:val="20"/>
            </w:rPr>
            <w:t xml:space="preserve"> </w:t>
          </w:r>
          <w:r w:rsidRPr="00025EAB">
            <w:rPr>
              <w:iCs/>
              <w:color w:val="63002F"/>
              <w:sz w:val="20"/>
              <w:szCs w:val="20"/>
            </w:rPr>
            <w:t>№</w:t>
          </w:r>
          <w:r w:rsidR="00790B9A" w:rsidRPr="00025EAB">
            <w:rPr>
              <w:iCs/>
              <w:color w:val="63002F"/>
              <w:sz w:val="20"/>
              <w:szCs w:val="20"/>
            </w:rPr>
            <w:t>5</w:t>
          </w:r>
        </w:p>
        <w:p w:rsidR="00790B9A" w:rsidRPr="00025EAB" w:rsidRDefault="00790B9A" w:rsidP="00FB70E5">
          <w:pPr>
            <w:pStyle w:val="a3"/>
            <w:jc w:val="right"/>
            <w:rPr>
              <w:iCs/>
              <w:color w:val="63002F"/>
              <w:sz w:val="20"/>
              <w:szCs w:val="20"/>
            </w:rPr>
          </w:pPr>
          <w:r w:rsidRPr="00025EAB">
            <w:rPr>
              <w:iCs/>
              <w:color w:val="63002F"/>
              <w:sz w:val="20"/>
              <w:szCs w:val="20"/>
            </w:rPr>
            <w:t>Регламент оказания АО ИФК «Солид» услуг на финансовых рынках</w:t>
          </w:r>
        </w:p>
        <w:p w:rsidR="00790B9A" w:rsidRPr="00BD49C6" w:rsidRDefault="00790B9A" w:rsidP="00FB70E5">
          <w:pPr>
            <w:pStyle w:val="a3"/>
            <w:jc w:val="right"/>
            <w:rPr>
              <w:rFonts w:ascii="FreeSetLightC" w:hAnsi="FreeSetLightC"/>
              <w:iCs/>
              <w:sz w:val="20"/>
              <w:szCs w:val="20"/>
            </w:rPr>
          </w:pPr>
        </w:p>
      </w:tc>
    </w:tr>
  </w:tbl>
  <w:p w:rsidR="00790B9A" w:rsidRDefault="00790B9A" w:rsidP="00EC37CE">
    <w:pPr>
      <w:pStyle w:val="a3"/>
      <w:rPr>
        <w:rFonts w:ascii="FreeSetBookC" w:hAnsi="FreeSetBookC"/>
        <w:i/>
        <w:i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0" w:type="auto"/>
      <w:tblInd w:w="-284" w:type="dxa"/>
      <w:tblLook w:val="04A0" w:firstRow="1" w:lastRow="0" w:firstColumn="1" w:lastColumn="0" w:noHBand="0" w:noVBand="1"/>
    </w:tblPr>
    <w:tblGrid>
      <w:gridCol w:w="1952"/>
      <w:gridCol w:w="8752"/>
    </w:tblGrid>
    <w:tr w:rsidR="00790B9A" w:rsidTr="00426644">
      <w:tc>
        <w:tcPr>
          <w:tcW w:w="1952" w:type="dxa"/>
          <w:tcBorders>
            <w:top w:val="nil"/>
            <w:left w:val="nil"/>
            <w:bottom w:val="nil"/>
            <w:right w:val="nil"/>
          </w:tcBorders>
        </w:tcPr>
        <w:p w:rsidR="00790B9A" w:rsidRDefault="00790B9A" w:rsidP="00426644">
          <w:pPr>
            <w:pStyle w:val="a3"/>
            <w:rPr>
              <w:rFonts w:ascii="FreeSet" w:hAnsi="FreeSet"/>
              <w:i/>
              <w:iCs/>
              <w:sz w:val="20"/>
              <w:szCs w:val="20"/>
            </w:rPr>
          </w:pPr>
          <w:r>
            <w:rPr>
              <w:rFonts w:ascii="FreeSet Light" w:hAnsi="FreeSet Light"/>
              <w:i/>
              <w:iCs/>
              <w:noProof/>
            </w:rPr>
            <w:drawing>
              <wp:inline distT="0" distB="0" distL="0" distR="0" wp14:anchorId="2ED3BEBA" wp14:editId="0C48B6A5">
                <wp:extent cx="802104" cy="714375"/>
                <wp:effectExtent l="0" t="0" r="0" b="0"/>
                <wp:docPr id="3" name="Рисунок 3" descr="C:\Users\Кирилл\Download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ирилл\Downloads\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975" cy="710698"/>
                        </a:xfrm>
                        <a:prstGeom prst="rect">
                          <a:avLst/>
                        </a:prstGeom>
                        <a:noFill/>
                        <a:ln>
                          <a:noFill/>
                        </a:ln>
                      </pic:spPr>
                    </pic:pic>
                  </a:graphicData>
                </a:graphic>
              </wp:inline>
            </w:drawing>
          </w:r>
        </w:p>
      </w:tc>
      <w:tc>
        <w:tcPr>
          <w:tcW w:w="8752" w:type="dxa"/>
          <w:tcBorders>
            <w:top w:val="nil"/>
            <w:left w:val="nil"/>
            <w:bottom w:val="single" w:sz="4" w:space="0" w:color="auto"/>
            <w:right w:val="nil"/>
          </w:tcBorders>
        </w:tcPr>
        <w:p w:rsidR="00790B9A" w:rsidRDefault="000160F3" w:rsidP="00426644">
          <w:pPr>
            <w:pStyle w:val="a3"/>
            <w:ind w:left="-284"/>
            <w:jc w:val="center"/>
            <w:rPr>
              <w:rFonts w:ascii="FreeSet" w:hAnsi="FreeSet"/>
              <w:i/>
              <w:iCs/>
              <w:sz w:val="20"/>
              <w:szCs w:val="20"/>
            </w:rPr>
          </w:pPr>
          <w:r>
            <w:rPr>
              <w:rFonts w:ascii="FreeSet" w:hAnsi="FreeSet"/>
              <w:i/>
              <w:iCs/>
              <w:sz w:val="20"/>
              <w:szCs w:val="20"/>
            </w:rPr>
            <w:t xml:space="preserve"> </w:t>
          </w:r>
        </w:p>
        <w:p w:rsidR="00790B9A" w:rsidRDefault="00790B9A" w:rsidP="00426644">
          <w:pPr>
            <w:pStyle w:val="a3"/>
            <w:ind w:left="-284"/>
            <w:jc w:val="right"/>
            <w:rPr>
              <w:rFonts w:ascii="FreeSetBookC" w:hAnsi="FreeSetBookC"/>
              <w:iCs/>
              <w:sz w:val="20"/>
              <w:szCs w:val="20"/>
            </w:rPr>
          </w:pPr>
        </w:p>
        <w:p w:rsidR="00790B9A" w:rsidRPr="00B45B0C" w:rsidRDefault="00790B9A" w:rsidP="00426644">
          <w:pPr>
            <w:pStyle w:val="a3"/>
            <w:ind w:left="-284"/>
            <w:jc w:val="right"/>
            <w:rPr>
              <w:rFonts w:ascii="FreeSet Bold" w:hAnsi="FreeSet Bold"/>
              <w:iCs/>
              <w:sz w:val="22"/>
              <w:szCs w:val="22"/>
            </w:rPr>
          </w:pPr>
          <w:r w:rsidRPr="00B45B0C">
            <w:rPr>
              <w:rFonts w:ascii="FreeSet Bold" w:hAnsi="FreeSet Bold"/>
              <w:iCs/>
              <w:sz w:val="22"/>
              <w:szCs w:val="22"/>
            </w:rPr>
            <w:t>Приложение</w:t>
          </w:r>
          <w:r w:rsidR="000160F3">
            <w:rPr>
              <w:rFonts w:ascii="FreeSet Bold" w:hAnsi="FreeSet Bold"/>
              <w:iCs/>
              <w:sz w:val="22"/>
              <w:szCs w:val="22"/>
            </w:rPr>
            <w:t xml:space="preserve"> </w:t>
          </w:r>
          <w:r w:rsidRPr="00B45B0C">
            <w:rPr>
              <w:rFonts w:ascii="FreeSet Bold" w:hAnsi="FreeSet Bold"/>
              <w:iCs/>
              <w:sz w:val="22"/>
              <w:szCs w:val="22"/>
            </w:rPr>
            <w:t>№15</w:t>
          </w:r>
          <w:r w:rsidRPr="00EC37CE">
            <w:rPr>
              <w:rFonts w:ascii="FreeSet Bold" w:hAnsi="FreeSet Bold"/>
              <w:iCs/>
              <w:sz w:val="22"/>
              <w:szCs w:val="22"/>
            </w:rPr>
            <w:t xml:space="preserve"> </w:t>
          </w:r>
          <w:r w:rsidRPr="00B45B0C">
            <w:rPr>
              <w:rFonts w:ascii="FreeSet Bold" w:hAnsi="FreeSet Bold"/>
              <w:iCs/>
              <w:sz w:val="22"/>
              <w:szCs w:val="22"/>
            </w:rPr>
            <w:t>«Тарифный классификатор»</w:t>
          </w:r>
        </w:p>
        <w:p w:rsidR="00790B9A" w:rsidRDefault="00790B9A" w:rsidP="00426644">
          <w:pPr>
            <w:pStyle w:val="a3"/>
            <w:jc w:val="right"/>
            <w:rPr>
              <w:rFonts w:ascii="FreeSet" w:hAnsi="FreeSet"/>
              <w:i/>
              <w:iCs/>
              <w:sz w:val="20"/>
              <w:szCs w:val="20"/>
            </w:rPr>
          </w:pPr>
          <w:r w:rsidRPr="00B45B0C">
            <w:rPr>
              <w:rFonts w:ascii="FreeSet Bold" w:hAnsi="FreeSet Bold"/>
              <w:iCs/>
              <w:sz w:val="22"/>
              <w:szCs w:val="22"/>
            </w:rPr>
            <w:t>Регламент оказания АО ИФК «Солид» услуг на финансовых рынках</w:t>
          </w:r>
        </w:p>
      </w:tc>
    </w:tr>
  </w:tbl>
  <w:p w:rsidR="00790B9A" w:rsidRDefault="00790B9A" w:rsidP="00426644">
    <w:pPr>
      <w:pStyle w:val="a3"/>
      <w:rPr>
        <w:rFonts w:ascii="FreeSetBookC" w:hAnsi="FreeSetBookC"/>
        <w:i/>
        <w:i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0B8D"/>
    <w:multiLevelType w:val="multilevel"/>
    <w:tmpl w:val="C28E49C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nsid w:val="059A2576"/>
    <w:multiLevelType w:val="hybridMultilevel"/>
    <w:tmpl w:val="3F76E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11005"/>
    <w:multiLevelType w:val="multilevel"/>
    <w:tmpl w:val="D8DE412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0F9274A2"/>
    <w:multiLevelType w:val="hybridMultilevel"/>
    <w:tmpl w:val="3F76E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5A4B32"/>
    <w:multiLevelType w:val="hybridMultilevel"/>
    <w:tmpl w:val="88C2E726"/>
    <w:lvl w:ilvl="0" w:tplc="98C420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6920D54"/>
    <w:multiLevelType w:val="hybridMultilevel"/>
    <w:tmpl w:val="3F76E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A37478"/>
    <w:multiLevelType w:val="hybridMultilevel"/>
    <w:tmpl w:val="7220BA8E"/>
    <w:lvl w:ilvl="0" w:tplc="742087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7E60EE8"/>
    <w:multiLevelType w:val="hybridMultilevel"/>
    <w:tmpl w:val="6E286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205707"/>
    <w:multiLevelType w:val="hybridMultilevel"/>
    <w:tmpl w:val="DDE06B8C"/>
    <w:lvl w:ilvl="0" w:tplc="0419000D">
      <w:start w:val="1"/>
      <w:numFmt w:val="bullet"/>
      <w:lvlText w:val=""/>
      <w:lvlJc w:val="left"/>
      <w:pPr>
        <w:tabs>
          <w:tab w:val="num" w:pos="1077"/>
        </w:tabs>
        <w:ind w:left="1077" w:hanging="360"/>
      </w:pPr>
      <w:rPr>
        <w:rFonts w:ascii="Wingdings" w:hAnsi="Wingdings"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9">
    <w:nsid w:val="21AA24F2"/>
    <w:multiLevelType w:val="hybridMultilevel"/>
    <w:tmpl w:val="0ABC0E30"/>
    <w:lvl w:ilvl="0" w:tplc="89A283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2136A5F"/>
    <w:multiLevelType w:val="hybridMultilevel"/>
    <w:tmpl w:val="3F76E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5913B6"/>
    <w:multiLevelType w:val="hybridMultilevel"/>
    <w:tmpl w:val="B61868C2"/>
    <w:lvl w:ilvl="0" w:tplc="F4D2B29C">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EEF3A9B"/>
    <w:multiLevelType w:val="hybridMultilevel"/>
    <w:tmpl w:val="23422260"/>
    <w:lvl w:ilvl="0" w:tplc="70E0A2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F465F31"/>
    <w:multiLevelType w:val="hybridMultilevel"/>
    <w:tmpl w:val="3F76E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0562EC"/>
    <w:multiLevelType w:val="multilevel"/>
    <w:tmpl w:val="665A26DC"/>
    <w:lvl w:ilvl="0">
      <w:start w:val="1"/>
      <w:numFmt w:val="decimal"/>
      <w:lvlText w:val="%1."/>
      <w:lvlJc w:val="left"/>
      <w:pPr>
        <w:ind w:left="927" w:hanging="360"/>
      </w:pPr>
      <w:rPr>
        <w:rFonts w:hint="default"/>
        <w:b w:val="0"/>
        <w:i/>
      </w:rPr>
    </w:lvl>
    <w:lvl w:ilvl="1">
      <w:start w:val="1"/>
      <w:numFmt w:val="decimal"/>
      <w:isLgl/>
      <w:lvlText w:val="%1.%2."/>
      <w:lvlJc w:val="left"/>
      <w:pPr>
        <w:ind w:left="1287" w:hanging="720"/>
      </w:pPr>
      <w:rPr>
        <w:rFonts w:hint="default"/>
        <w:i/>
      </w:rPr>
    </w:lvl>
    <w:lvl w:ilvl="2">
      <w:start w:val="1"/>
      <w:numFmt w:val="decimal"/>
      <w:isLgl/>
      <w:lvlText w:val="%1.%2.%3."/>
      <w:lvlJc w:val="left"/>
      <w:pPr>
        <w:ind w:left="1287" w:hanging="720"/>
      </w:pPr>
      <w:rPr>
        <w:rFonts w:hint="default"/>
        <w:i/>
      </w:rPr>
    </w:lvl>
    <w:lvl w:ilvl="3">
      <w:start w:val="1"/>
      <w:numFmt w:val="decimal"/>
      <w:isLgl/>
      <w:lvlText w:val="%1.%2.%3.%4."/>
      <w:lvlJc w:val="left"/>
      <w:pPr>
        <w:ind w:left="1647" w:hanging="1080"/>
      </w:pPr>
      <w:rPr>
        <w:rFonts w:hint="default"/>
        <w:i/>
      </w:rPr>
    </w:lvl>
    <w:lvl w:ilvl="4">
      <w:start w:val="1"/>
      <w:numFmt w:val="decimal"/>
      <w:isLgl/>
      <w:lvlText w:val="%1.%2.%3.%4.%5."/>
      <w:lvlJc w:val="left"/>
      <w:pPr>
        <w:ind w:left="1647" w:hanging="1080"/>
      </w:pPr>
      <w:rPr>
        <w:rFonts w:hint="default"/>
        <w:i/>
      </w:rPr>
    </w:lvl>
    <w:lvl w:ilvl="5">
      <w:start w:val="1"/>
      <w:numFmt w:val="decimal"/>
      <w:isLgl/>
      <w:lvlText w:val="%1.%2.%3.%4.%5.%6."/>
      <w:lvlJc w:val="left"/>
      <w:pPr>
        <w:ind w:left="2007" w:hanging="1440"/>
      </w:pPr>
      <w:rPr>
        <w:rFonts w:hint="default"/>
        <w:i/>
      </w:rPr>
    </w:lvl>
    <w:lvl w:ilvl="6">
      <w:start w:val="1"/>
      <w:numFmt w:val="decimal"/>
      <w:isLgl/>
      <w:lvlText w:val="%1.%2.%3.%4.%5.%6.%7."/>
      <w:lvlJc w:val="left"/>
      <w:pPr>
        <w:ind w:left="2007" w:hanging="1440"/>
      </w:pPr>
      <w:rPr>
        <w:rFonts w:hint="default"/>
        <w:i/>
      </w:rPr>
    </w:lvl>
    <w:lvl w:ilvl="7">
      <w:start w:val="1"/>
      <w:numFmt w:val="decimal"/>
      <w:isLgl/>
      <w:lvlText w:val="%1.%2.%3.%4.%5.%6.%7.%8."/>
      <w:lvlJc w:val="left"/>
      <w:pPr>
        <w:ind w:left="2367" w:hanging="1800"/>
      </w:pPr>
      <w:rPr>
        <w:rFonts w:hint="default"/>
        <w:i/>
      </w:rPr>
    </w:lvl>
    <w:lvl w:ilvl="8">
      <w:start w:val="1"/>
      <w:numFmt w:val="decimal"/>
      <w:isLgl/>
      <w:lvlText w:val="%1.%2.%3.%4.%5.%6.%7.%8.%9."/>
      <w:lvlJc w:val="left"/>
      <w:pPr>
        <w:ind w:left="2727" w:hanging="2160"/>
      </w:pPr>
      <w:rPr>
        <w:rFonts w:hint="default"/>
        <w:i/>
      </w:rPr>
    </w:lvl>
  </w:abstractNum>
  <w:abstractNum w:abstractNumId="15">
    <w:nsid w:val="36D554AB"/>
    <w:multiLevelType w:val="hybridMultilevel"/>
    <w:tmpl w:val="3F76E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FC3605"/>
    <w:multiLevelType w:val="hybridMultilevel"/>
    <w:tmpl w:val="6E286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833E6F"/>
    <w:multiLevelType w:val="hybridMultilevel"/>
    <w:tmpl w:val="3F76E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89765B"/>
    <w:multiLevelType w:val="hybridMultilevel"/>
    <w:tmpl w:val="6E286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074D62"/>
    <w:multiLevelType w:val="hybridMultilevel"/>
    <w:tmpl w:val="FF388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0B3240"/>
    <w:multiLevelType w:val="hybridMultilevel"/>
    <w:tmpl w:val="6E286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8163A6"/>
    <w:multiLevelType w:val="hybridMultilevel"/>
    <w:tmpl w:val="FF388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23109D"/>
    <w:multiLevelType w:val="multilevel"/>
    <w:tmpl w:val="89AACE5C"/>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
    <w:nsid w:val="5C503270"/>
    <w:multiLevelType w:val="multilevel"/>
    <w:tmpl w:val="658657EE"/>
    <w:lvl w:ilvl="0">
      <w:start w:val="4"/>
      <w:numFmt w:val="decimal"/>
      <w:lvlText w:val="%1."/>
      <w:lvlJc w:val="left"/>
      <w:pPr>
        <w:tabs>
          <w:tab w:val="num" w:pos="360"/>
        </w:tabs>
        <w:ind w:left="360" w:hanging="360"/>
      </w:pPr>
      <w:rPr>
        <w:rFonts w:hint="default"/>
        <w:b/>
      </w:rPr>
    </w:lvl>
    <w:lvl w:ilvl="1">
      <w:start w:val="1"/>
      <w:numFmt w:val="decimal"/>
      <w:isLgl/>
      <w:lvlText w:val="%1.%2."/>
      <w:lvlJc w:val="left"/>
      <w:pPr>
        <w:tabs>
          <w:tab w:val="num" w:pos="180"/>
        </w:tabs>
        <w:ind w:left="180" w:hanging="360"/>
      </w:pPr>
      <w:rPr>
        <w:rFonts w:hint="default"/>
        <w:sz w:val="18"/>
        <w:szCs w:val="18"/>
      </w:rPr>
    </w:lvl>
    <w:lvl w:ilvl="2">
      <w:start w:val="1"/>
      <w:numFmt w:val="decimalZero"/>
      <w:isLgl/>
      <w:lvlText w:val="%1.%2.%3."/>
      <w:lvlJc w:val="left"/>
      <w:pPr>
        <w:tabs>
          <w:tab w:val="num" w:pos="720"/>
        </w:tabs>
        <w:ind w:left="720" w:hanging="720"/>
      </w:pPr>
      <w:rPr>
        <w:rFonts w:hint="default"/>
      </w:rPr>
    </w:lvl>
    <w:lvl w:ilvl="3">
      <w:start w:val="1"/>
      <w:numFmt w:val="decimal"/>
      <w:lvlText w:val="%4."/>
      <w:lvlJc w:val="left"/>
      <w:pPr>
        <w:tabs>
          <w:tab w:val="num" w:pos="360"/>
        </w:tabs>
        <w:ind w:left="360" w:hanging="360"/>
      </w:pPr>
      <w:rPr>
        <w:rFonts w:hint="default"/>
        <w:b/>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4">
    <w:nsid w:val="5D65303C"/>
    <w:multiLevelType w:val="hybridMultilevel"/>
    <w:tmpl w:val="3F76E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39235B"/>
    <w:multiLevelType w:val="hybridMultilevel"/>
    <w:tmpl w:val="A0AC7F98"/>
    <w:lvl w:ilvl="0" w:tplc="E564CB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89610EE"/>
    <w:multiLevelType w:val="hybridMultilevel"/>
    <w:tmpl w:val="3F76E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735B02"/>
    <w:multiLevelType w:val="hybridMultilevel"/>
    <w:tmpl w:val="3F76E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3F5C7F"/>
    <w:multiLevelType w:val="hybridMultilevel"/>
    <w:tmpl w:val="F2BCC946"/>
    <w:lvl w:ilvl="0" w:tplc="3D728C9A">
      <w:start w:val="1"/>
      <w:numFmt w:val="decimal"/>
      <w:lvlText w:val="%1."/>
      <w:lvlJc w:val="left"/>
      <w:pPr>
        <w:ind w:left="1287" w:hanging="360"/>
      </w:pPr>
      <w:rPr>
        <w:rFonts w:ascii="FreeSetLightC" w:eastAsia="Calibri" w:hAnsi="FreeSetLightC"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3611166"/>
    <w:multiLevelType w:val="hybridMultilevel"/>
    <w:tmpl w:val="FF388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504A4E"/>
    <w:multiLevelType w:val="hybridMultilevel"/>
    <w:tmpl w:val="3F76E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D20033"/>
    <w:multiLevelType w:val="hybridMultilevel"/>
    <w:tmpl w:val="3F76E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CF5D1B"/>
    <w:multiLevelType w:val="hybridMultilevel"/>
    <w:tmpl w:val="314E0AB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B0C4BD3"/>
    <w:multiLevelType w:val="multilevel"/>
    <w:tmpl w:val="223E1048"/>
    <w:lvl w:ilvl="0">
      <w:start w:val="2"/>
      <w:numFmt w:val="decimal"/>
      <w:lvlText w:val="%1."/>
      <w:lvlJc w:val="left"/>
      <w:pPr>
        <w:tabs>
          <w:tab w:val="num" w:pos="360"/>
        </w:tabs>
        <w:ind w:left="360" w:hanging="360"/>
      </w:pPr>
      <w:rPr>
        <w:rFonts w:hint="default"/>
        <w:b/>
      </w:rPr>
    </w:lvl>
    <w:lvl w:ilvl="1">
      <w:start w:val="1"/>
      <w:numFmt w:val="decimal"/>
      <w:isLgl/>
      <w:lvlText w:val="%1.%2."/>
      <w:lvlJc w:val="left"/>
      <w:pPr>
        <w:tabs>
          <w:tab w:val="num" w:pos="180"/>
        </w:tabs>
        <w:ind w:left="180" w:hanging="360"/>
      </w:pPr>
      <w:rPr>
        <w:rFonts w:hint="default"/>
        <w:sz w:val="18"/>
        <w:szCs w:val="18"/>
      </w:rPr>
    </w:lvl>
    <w:lvl w:ilvl="2">
      <w:start w:val="1"/>
      <w:numFmt w:val="decimalZero"/>
      <w:isLgl/>
      <w:lvlText w:val="%1.%2.%3."/>
      <w:lvlJc w:val="left"/>
      <w:pPr>
        <w:tabs>
          <w:tab w:val="num" w:pos="720"/>
        </w:tabs>
        <w:ind w:left="720" w:hanging="720"/>
      </w:pPr>
      <w:rPr>
        <w:rFonts w:hint="default"/>
      </w:rPr>
    </w:lvl>
    <w:lvl w:ilvl="3">
      <w:start w:val="1"/>
      <w:numFmt w:val="decimal"/>
      <w:lvlText w:val="%4."/>
      <w:lvlJc w:val="left"/>
      <w:pPr>
        <w:tabs>
          <w:tab w:val="num" w:pos="360"/>
        </w:tabs>
        <w:ind w:left="360" w:hanging="360"/>
      </w:pPr>
      <w:rPr>
        <w:rFonts w:hint="default"/>
        <w:b/>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22"/>
  </w:num>
  <w:num w:numId="2">
    <w:abstractNumId w:val="33"/>
  </w:num>
  <w:num w:numId="3">
    <w:abstractNumId w:val="16"/>
  </w:num>
  <w:num w:numId="4">
    <w:abstractNumId w:val="18"/>
  </w:num>
  <w:num w:numId="5">
    <w:abstractNumId w:val="24"/>
  </w:num>
  <w:num w:numId="6">
    <w:abstractNumId w:val="7"/>
  </w:num>
  <w:num w:numId="7">
    <w:abstractNumId w:val="20"/>
  </w:num>
  <w:num w:numId="8">
    <w:abstractNumId w:val="13"/>
  </w:num>
  <w:num w:numId="9">
    <w:abstractNumId w:val="26"/>
  </w:num>
  <w:num w:numId="10">
    <w:abstractNumId w:val="25"/>
  </w:num>
  <w:num w:numId="11">
    <w:abstractNumId w:val="1"/>
  </w:num>
  <w:num w:numId="12">
    <w:abstractNumId w:val="30"/>
  </w:num>
  <w:num w:numId="13">
    <w:abstractNumId w:val="5"/>
  </w:num>
  <w:num w:numId="14">
    <w:abstractNumId w:val="29"/>
  </w:num>
  <w:num w:numId="15">
    <w:abstractNumId w:val="21"/>
  </w:num>
  <w:num w:numId="16">
    <w:abstractNumId w:val="19"/>
  </w:num>
  <w:num w:numId="17">
    <w:abstractNumId w:val="23"/>
  </w:num>
  <w:num w:numId="18">
    <w:abstractNumId w:val="10"/>
  </w:num>
  <w:num w:numId="19">
    <w:abstractNumId w:val="17"/>
  </w:num>
  <w:num w:numId="20">
    <w:abstractNumId w:val="27"/>
  </w:num>
  <w:num w:numId="21">
    <w:abstractNumId w:val="31"/>
  </w:num>
  <w:num w:numId="22">
    <w:abstractNumId w:val="3"/>
  </w:num>
  <w:num w:numId="23">
    <w:abstractNumId w:val="15"/>
  </w:num>
  <w:num w:numId="24">
    <w:abstractNumId w:val="11"/>
  </w:num>
  <w:num w:numId="25">
    <w:abstractNumId w:val="0"/>
  </w:num>
  <w:num w:numId="26">
    <w:abstractNumId w:val="32"/>
  </w:num>
  <w:num w:numId="27">
    <w:abstractNumId w:val="8"/>
  </w:num>
  <w:num w:numId="28">
    <w:abstractNumId w:val="28"/>
  </w:num>
  <w:num w:numId="29">
    <w:abstractNumId w:val="4"/>
  </w:num>
  <w:num w:numId="30">
    <w:abstractNumId w:val="14"/>
  </w:num>
  <w:num w:numId="31">
    <w:abstractNumId w:val="9"/>
  </w:num>
  <w:num w:numId="32">
    <w:abstractNumId w:val="6"/>
  </w:num>
  <w:num w:numId="33">
    <w:abstractNumId w:val="2"/>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1024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288"/>
    <w:rsid w:val="00003C70"/>
    <w:rsid w:val="0001358E"/>
    <w:rsid w:val="000139A6"/>
    <w:rsid w:val="00014E26"/>
    <w:rsid w:val="000160F3"/>
    <w:rsid w:val="0002348E"/>
    <w:rsid w:val="00025EAB"/>
    <w:rsid w:val="000629B2"/>
    <w:rsid w:val="00076F57"/>
    <w:rsid w:val="000807CD"/>
    <w:rsid w:val="0008402B"/>
    <w:rsid w:val="0008748A"/>
    <w:rsid w:val="00093B26"/>
    <w:rsid w:val="00094289"/>
    <w:rsid w:val="00095067"/>
    <w:rsid w:val="000A1944"/>
    <w:rsid w:val="000B180A"/>
    <w:rsid w:val="000C5208"/>
    <w:rsid w:val="000C6747"/>
    <w:rsid w:val="000D2B3E"/>
    <w:rsid w:val="000E53F6"/>
    <w:rsid w:val="000E7A06"/>
    <w:rsid w:val="000F0643"/>
    <w:rsid w:val="00101559"/>
    <w:rsid w:val="00102B61"/>
    <w:rsid w:val="0010724E"/>
    <w:rsid w:val="00115FE7"/>
    <w:rsid w:val="00131399"/>
    <w:rsid w:val="00140BE5"/>
    <w:rsid w:val="00145D7D"/>
    <w:rsid w:val="00150232"/>
    <w:rsid w:val="00170BB4"/>
    <w:rsid w:val="00176764"/>
    <w:rsid w:val="00181C30"/>
    <w:rsid w:val="00181D67"/>
    <w:rsid w:val="001846F6"/>
    <w:rsid w:val="00196BB6"/>
    <w:rsid w:val="001B490C"/>
    <w:rsid w:val="001D4F56"/>
    <w:rsid w:val="001E633E"/>
    <w:rsid w:val="00212212"/>
    <w:rsid w:val="002252A0"/>
    <w:rsid w:val="00225B80"/>
    <w:rsid w:val="0022643D"/>
    <w:rsid w:val="00226567"/>
    <w:rsid w:val="002268BF"/>
    <w:rsid w:val="00236FD7"/>
    <w:rsid w:val="00242413"/>
    <w:rsid w:val="00244993"/>
    <w:rsid w:val="0025024A"/>
    <w:rsid w:val="002503FB"/>
    <w:rsid w:val="002514D6"/>
    <w:rsid w:val="002557D6"/>
    <w:rsid w:val="002570C2"/>
    <w:rsid w:val="00262A5F"/>
    <w:rsid w:val="0027247A"/>
    <w:rsid w:val="0027263A"/>
    <w:rsid w:val="00281B87"/>
    <w:rsid w:val="002A55CE"/>
    <w:rsid w:val="002A6B20"/>
    <w:rsid w:val="002B77D0"/>
    <w:rsid w:val="002C6ABC"/>
    <w:rsid w:val="002C710C"/>
    <w:rsid w:val="002D32E7"/>
    <w:rsid w:val="002D430C"/>
    <w:rsid w:val="002F0674"/>
    <w:rsid w:val="002F52E8"/>
    <w:rsid w:val="002F65AB"/>
    <w:rsid w:val="002F6690"/>
    <w:rsid w:val="002F6902"/>
    <w:rsid w:val="00302454"/>
    <w:rsid w:val="00304E65"/>
    <w:rsid w:val="0030772B"/>
    <w:rsid w:val="00307D91"/>
    <w:rsid w:val="00311C57"/>
    <w:rsid w:val="003231E9"/>
    <w:rsid w:val="003247C5"/>
    <w:rsid w:val="003332C0"/>
    <w:rsid w:val="00333A24"/>
    <w:rsid w:val="003708AB"/>
    <w:rsid w:val="003759B5"/>
    <w:rsid w:val="0038593F"/>
    <w:rsid w:val="00386F2D"/>
    <w:rsid w:val="003940B8"/>
    <w:rsid w:val="003B7FCD"/>
    <w:rsid w:val="003D4875"/>
    <w:rsid w:val="003D6DEF"/>
    <w:rsid w:val="003E2D8C"/>
    <w:rsid w:val="003F0EEC"/>
    <w:rsid w:val="00400140"/>
    <w:rsid w:val="00400690"/>
    <w:rsid w:val="00402F66"/>
    <w:rsid w:val="00403A13"/>
    <w:rsid w:val="0041057A"/>
    <w:rsid w:val="00412723"/>
    <w:rsid w:val="004231AE"/>
    <w:rsid w:val="00424444"/>
    <w:rsid w:val="00426644"/>
    <w:rsid w:val="00427593"/>
    <w:rsid w:val="004351A9"/>
    <w:rsid w:val="004432B8"/>
    <w:rsid w:val="00445A67"/>
    <w:rsid w:val="00461335"/>
    <w:rsid w:val="004617E5"/>
    <w:rsid w:val="004716ED"/>
    <w:rsid w:val="00472BA3"/>
    <w:rsid w:val="004759CB"/>
    <w:rsid w:val="00486F62"/>
    <w:rsid w:val="0048765B"/>
    <w:rsid w:val="00487DC2"/>
    <w:rsid w:val="004974F0"/>
    <w:rsid w:val="004A09E6"/>
    <w:rsid w:val="004A40DF"/>
    <w:rsid w:val="004B3507"/>
    <w:rsid w:val="004B67C2"/>
    <w:rsid w:val="004C25FC"/>
    <w:rsid w:val="004D1454"/>
    <w:rsid w:val="004D362E"/>
    <w:rsid w:val="004D4A36"/>
    <w:rsid w:val="004E020A"/>
    <w:rsid w:val="004E1008"/>
    <w:rsid w:val="004E1DF3"/>
    <w:rsid w:val="004E1E1A"/>
    <w:rsid w:val="004E4CBB"/>
    <w:rsid w:val="004E4E55"/>
    <w:rsid w:val="004F168D"/>
    <w:rsid w:val="004F5188"/>
    <w:rsid w:val="004F6804"/>
    <w:rsid w:val="004F6C68"/>
    <w:rsid w:val="005062DC"/>
    <w:rsid w:val="005077E9"/>
    <w:rsid w:val="00517559"/>
    <w:rsid w:val="005260D5"/>
    <w:rsid w:val="00533D38"/>
    <w:rsid w:val="00547B28"/>
    <w:rsid w:val="00556F79"/>
    <w:rsid w:val="005575AE"/>
    <w:rsid w:val="00560882"/>
    <w:rsid w:val="005660A5"/>
    <w:rsid w:val="0057769D"/>
    <w:rsid w:val="00582CF8"/>
    <w:rsid w:val="00584F7B"/>
    <w:rsid w:val="005858A8"/>
    <w:rsid w:val="005904A0"/>
    <w:rsid w:val="00594D94"/>
    <w:rsid w:val="00595784"/>
    <w:rsid w:val="005A1A4A"/>
    <w:rsid w:val="005A56BB"/>
    <w:rsid w:val="005A7823"/>
    <w:rsid w:val="005B17DF"/>
    <w:rsid w:val="005B5BF2"/>
    <w:rsid w:val="005C1D2C"/>
    <w:rsid w:val="005C4C12"/>
    <w:rsid w:val="005C6CAB"/>
    <w:rsid w:val="005F795F"/>
    <w:rsid w:val="0061443C"/>
    <w:rsid w:val="00614653"/>
    <w:rsid w:val="00625847"/>
    <w:rsid w:val="0063189C"/>
    <w:rsid w:val="00632DF3"/>
    <w:rsid w:val="006400D6"/>
    <w:rsid w:val="00640CB1"/>
    <w:rsid w:val="006626EE"/>
    <w:rsid w:val="00670D40"/>
    <w:rsid w:val="006746DD"/>
    <w:rsid w:val="00677115"/>
    <w:rsid w:val="0067774C"/>
    <w:rsid w:val="00691A65"/>
    <w:rsid w:val="006A0686"/>
    <w:rsid w:val="006A22E2"/>
    <w:rsid w:val="006A3A5B"/>
    <w:rsid w:val="006A5703"/>
    <w:rsid w:val="006B564C"/>
    <w:rsid w:val="006C5D13"/>
    <w:rsid w:val="006D0A58"/>
    <w:rsid w:val="006D4E13"/>
    <w:rsid w:val="006E240D"/>
    <w:rsid w:val="0071230F"/>
    <w:rsid w:val="00713947"/>
    <w:rsid w:val="007152B2"/>
    <w:rsid w:val="0073399E"/>
    <w:rsid w:val="007551E5"/>
    <w:rsid w:val="007610DA"/>
    <w:rsid w:val="00766D5C"/>
    <w:rsid w:val="007831AA"/>
    <w:rsid w:val="00790B9A"/>
    <w:rsid w:val="00794D1F"/>
    <w:rsid w:val="00795424"/>
    <w:rsid w:val="0079705D"/>
    <w:rsid w:val="00797662"/>
    <w:rsid w:val="007A0E9B"/>
    <w:rsid w:val="007B3FB6"/>
    <w:rsid w:val="007B736E"/>
    <w:rsid w:val="007C20A0"/>
    <w:rsid w:val="007C2C55"/>
    <w:rsid w:val="007C41B2"/>
    <w:rsid w:val="007F4C4F"/>
    <w:rsid w:val="007F5462"/>
    <w:rsid w:val="007F7D89"/>
    <w:rsid w:val="0080314B"/>
    <w:rsid w:val="00804F6D"/>
    <w:rsid w:val="00816873"/>
    <w:rsid w:val="008254FE"/>
    <w:rsid w:val="00830AC2"/>
    <w:rsid w:val="0083757A"/>
    <w:rsid w:val="00843CDC"/>
    <w:rsid w:val="00844D38"/>
    <w:rsid w:val="00846432"/>
    <w:rsid w:val="00851835"/>
    <w:rsid w:val="00864ED7"/>
    <w:rsid w:val="00866584"/>
    <w:rsid w:val="008722B4"/>
    <w:rsid w:val="008754CF"/>
    <w:rsid w:val="008768AA"/>
    <w:rsid w:val="008871EA"/>
    <w:rsid w:val="008A03CE"/>
    <w:rsid w:val="008A7E5C"/>
    <w:rsid w:val="008C02DF"/>
    <w:rsid w:val="008E1042"/>
    <w:rsid w:val="008E2DE7"/>
    <w:rsid w:val="008E7288"/>
    <w:rsid w:val="008F2288"/>
    <w:rsid w:val="00903C3D"/>
    <w:rsid w:val="0091084A"/>
    <w:rsid w:val="00914A83"/>
    <w:rsid w:val="00937374"/>
    <w:rsid w:val="00972D7F"/>
    <w:rsid w:val="00972DD1"/>
    <w:rsid w:val="00977D3B"/>
    <w:rsid w:val="00980877"/>
    <w:rsid w:val="00982231"/>
    <w:rsid w:val="009A6D1B"/>
    <w:rsid w:val="009C3135"/>
    <w:rsid w:val="009C4E92"/>
    <w:rsid w:val="009E3EF4"/>
    <w:rsid w:val="009E4795"/>
    <w:rsid w:val="009E7DCA"/>
    <w:rsid w:val="009F4031"/>
    <w:rsid w:val="00A10B8B"/>
    <w:rsid w:val="00A14AB8"/>
    <w:rsid w:val="00A244CB"/>
    <w:rsid w:val="00A25E4A"/>
    <w:rsid w:val="00A27FC4"/>
    <w:rsid w:val="00A4370D"/>
    <w:rsid w:val="00A51FEC"/>
    <w:rsid w:val="00A52162"/>
    <w:rsid w:val="00A55611"/>
    <w:rsid w:val="00A659ED"/>
    <w:rsid w:val="00A74075"/>
    <w:rsid w:val="00A74BE5"/>
    <w:rsid w:val="00A75761"/>
    <w:rsid w:val="00A7731F"/>
    <w:rsid w:val="00A85A0F"/>
    <w:rsid w:val="00A85B14"/>
    <w:rsid w:val="00A9588B"/>
    <w:rsid w:val="00AA1CEF"/>
    <w:rsid w:val="00AA1CF9"/>
    <w:rsid w:val="00AA28A9"/>
    <w:rsid w:val="00AA78EE"/>
    <w:rsid w:val="00AB1843"/>
    <w:rsid w:val="00AB3E72"/>
    <w:rsid w:val="00AB43D6"/>
    <w:rsid w:val="00AB5885"/>
    <w:rsid w:val="00AB7853"/>
    <w:rsid w:val="00AC3453"/>
    <w:rsid w:val="00AE56A0"/>
    <w:rsid w:val="00AF7032"/>
    <w:rsid w:val="00B037EF"/>
    <w:rsid w:val="00B06B82"/>
    <w:rsid w:val="00B0755B"/>
    <w:rsid w:val="00B1032C"/>
    <w:rsid w:val="00B140BC"/>
    <w:rsid w:val="00B20CD2"/>
    <w:rsid w:val="00B2114C"/>
    <w:rsid w:val="00B34B24"/>
    <w:rsid w:val="00B435AD"/>
    <w:rsid w:val="00B4480B"/>
    <w:rsid w:val="00B45B0C"/>
    <w:rsid w:val="00B64377"/>
    <w:rsid w:val="00B72209"/>
    <w:rsid w:val="00B7289C"/>
    <w:rsid w:val="00B7605B"/>
    <w:rsid w:val="00B7754B"/>
    <w:rsid w:val="00B83630"/>
    <w:rsid w:val="00B843E4"/>
    <w:rsid w:val="00B95DD6"/>
    <w:rsid w:val="00B966BE"/>
    <w:rsid w:val="00BA1AE4"/>
    <w:rsid w:val="00BB40D4"/>
    <w:rsid w:val="00BC76F7"/>
    <w:rsid w:val="00BD0719"/>
    <w:rsid w:val="00BD110B"/>
    <w:rsid w:val="00BD49C6"/>
    <w:rsid w:val="00BE20D0"/>
    <w:rsid w:val="00BE5F33"/>
    <w:rsid w:val="00BF1776"/>
    <w:rsid w:val="00C10FC6"/>
    <w:rsid w:val="00C15B39"/>
    <w:rsid w:val="00C26F06"/>
    <w:rsid w:val="00C27289"/>
    <w:rsid w:val="00C45F1A"/>
    <w:rsid w:val="00C506E2"/>
    <w:rsid w:val="00C51AD8"/>
    <w:rsid w:val="00C57C9E"/>
    <w:rsid w:val="00C62EA7"/>
    <w:rsid w:val="00C646A9"/>
    <w:rsid w:val="00C65DCA"/>
    <w:rsid w:val="00C718D9"/>
    <w:rsid w:val="00C73954"/>
    <w:rsid w:val="00C76426"/>
    <w:rsid w:val="00C84AAF"/>
    <w:rsid w:val="00C97D46"/>
    <w:rsid w:val="00CA0228"/>
    <w:rsid w:val="00CB52B6"/>
    <w:rsid w:val="00CB5F4C"/>
    <w:rsid w:val="00CC4A05"/>
    <w:rsid w:val="00CC5040"/>
    <w:rsid w:val="00CC5CCE"/>
    <w:rsid w:val="00CC6BD0"/>
    <w:rsid w:val="00CE506C"/>
    <w:rsid w:val="00CE771C"/>
    <w:rsid w:val="00CF28EA"/>
    <w:rsid w:val="00CF52E5"/>
    <w:rsid w:val="00CF79FD"/>
    <w:rsid w:val="00D028F9"/>
    <w:rsid w:val="00D3257A"/>
    <w:rsid w:val="00D32674"/>
    <w:rsid w:val="00D43DD4"/>
    <w:rsid w:val="00D500CB"/>
    <w:rsid w:val="00D64713"/>
    <w:rsid w:val="00D76AEF"/>
    <w:rsid w:val="00D8045F"/>
    <w:rsid w:val="00D813A5"/>
    <w:rsid w:val="00D8182F"/>
    <w:rsid w:val="00D83255"/>
    <w:rsid w:val="00D84CE0"/>
    <w:rsid w:val="00D92456"/>
    <w:rsid w:val="00DA2382"/>
    <w:rsid w:val="00DB6E71"/>
    <w:rsid w:val="00DB73DC"/>
    <w:rsid w:val="00DD0930"/>
    <w:rsid w:val="00DD0C86"/>
    <w:rsid w:val="00DD7BA8"/>
    <w:rsid w:val="00DF5A8C"/>
    <w:rsid w:val="00DF60ED"/>
    <w:rsid w:val="00E0286D"/>
    <w:rsid w:val="00E044BA"/>
    <w:rsid w:val="00E10131"/>
    <w:rsid w:val="00E13899"/>
    <w:rsid w:val="00E15D94"/>
    <w:rsid w:val="00E17B97"/>
    <w:rsid w:val="00E24DD4"/>
    <w:rsid w:val="00E4009B"/>
    <w:rsid w:val="00E4164A"/>
    <w:rsid w:val="00E44C93"/>
    <w:rsid w:val="00E450B0"/>
    <w:rsid w:val="00E46E0C"/>
    <w:rsid w:val="00E61950"/>
    <w:rsid w:val="00E62996"/>
    <w:rsid w:val="00E65516"/>
    <w:rsid w:val="00E76496"/>
    <w:rsid w:val="00E84D2E"/>
    <w:rsid w:val="00E87D29"/>
    <w:rsid w:val="00EA0349"/>
    <w:rsid w:val="00EA0F51"/>
    <w:rsid w:val="00EC37CE"/>
    <w:rsid w:val="00ED1125"/>
    <w:rsid w:val="00ED1AFA"/>
    <w:rsid w:val="00ED2A17"/>
    <w:rsid w:val="00ED5899"/>
    <w:rsid w:val="00ED6C93"/>
    <w:rsid w:val="00EE0F63"/>
    <w:rsid w:val="00EE157A"/>
    <w:rsid w:val="00EE565F"/>
    <w:rsid w:val="00EF2C16"/>
    <w:rsid w:val="00EF4C7E"/>
    <w:rsid w:val="00F06470"/>
    <w:rsid w:val="00F206BD"/>
    <w:rsid w:val="00F23CB6"/>
    <w:rsid w:val="00F34A36"/>
    <w:rsid w:val="00F36F8E"/>
    <w:rsid w:val="00F37942"/>
    <w:rsid w:val="00F42964"/>
    <w:rsid w:val="00F452A7"/>
    <w:rsid w:val="00F466AA"/>
    <w:rsid w:val="00F52A1C"/>
    <w:rsid w:val="00F53390"/>
    <w:rsid w:val="00F5393C"/>
    <w:rsid w:val="00F54EEA"/>
    <w:rsid w:val="00F57C69"/>
    <w:rsid w:val="00F60FC2"/>
    <w:rsid w:val="00F64122"/>
    <w:rsid w:val="00F7060F"/>
    <w:rsid w:val="00F75FE9"/>
    <w:rsid w:val="00F80A88"/>
    <w:rsid w:val="00F837AF"/>
    <w:rsid w:val="00F8408C"/>
    <w:rsid w:val="00F93789"/>
    <w:rsid w:val="00FA2C1D"/>
    <w:rsid w:val="00FB6953"/>
    <w:rsid w:val="00FB70E5"/>
    <w:rsid w:val="00FC0B3B"/>
    <w:rsid w:val="00FC781A"/>
    <w:rsid w:val="00FD1B76"/>
    <w:rsid w:val="00FD219B"/>
    <w:rsid w:val="00FD2492"/>
    <w:rsid w:val="00FD6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653"/>
    <w:pPr>
      <w:shd w:val="clear" w:color="auto" w:fill="FFFFFF"/>
      <w:spacing w:after="0"/>
      <w:ind w:left="11" w:right="23" w:firstLine="556"/>
      <w:jc w:val="both"/>
    </w:pPr>
    <w:rPr>
      <w:rFonts w:ascii="Times New Roman" w:eastAsia="Calibri" w:hAnsi="Times New Roman" w:cs="Times New Roman"/>
      <w:szCs w:val="24"/>
    </w:rPr>
  </w:style>
  <w:style w:type="paragraph" w:styleId="1">
    <w:name w:val="heading 1"/>
    <w:basedOn w:val="a"/>
    <w:next w:val="a"/>
    <w:link w:val="10"/>
    <w:uiPriority w:val="9"/>
    <w:qFormat/>
    <w:rsid w:val="00311C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11C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D32E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46E0C"/>
    <w:pPr>
      <w:tabs>
        <w:tab w:val="center" w:pos="4677"/>
        <w:tab w:val="right" w:pos="9355"/>
      </w:tabs>
      <w:spacing w:line="240" w:lineRule="auto"/>
    </w:pPr>
    <w:rPr>
      <w:rFonts w:eastAsia="Times New Roman"/>
      <w:sz w:val="24"/>
      <w:lang w:eastAsia="ru-RU"/>
    </w:rPr>
  </w:style>
  <w:style w:type="character" w:customStyle="1" w:styleId="a4">
    <w:name w:val="Верхний колонтитул Знак"/>
    <w:basedOn w:val="a0"/>
    <w:link w:val="a3"/>
    <w:uiPriority w:val="99"/>
    <w:rsid w:val="00E46E0C"/>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46E0C"/>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6E0C"/>
    <w:rPr>
      <w:rFonts w:ascii="Tahoma" w:hAnsi="Tahoma" w:cs="Tahoma"/>
      <w:sz w:val="16"/>
      <w:szCs w:val="16"/>
    </w:rPr>
  </w:style>
  <w:style w:type="table" w:styleId="a7">
    <w:name w:val="Table Grid"/>
    <w:basedOn w:val="a1"/>
    <w:uiPriority w:val="59"/>
    <w:rsid w:val="00C45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semiHidden/>
    <w:unhideWhenUsed/>
    <w:rsid w:val="006C5D13"/>
    <w:pPr>
      <w:spacing w:before="360" w:after="360" w:line="240" w:lineRule="auto"/>
      <w:jc w:val="center"/>
    </w:pPr>
    <w:rPr>
      <w:rFonts w:eastAsia="Times New Roman"/>
      <w:sz w:val="24"/>
      <w:szCs w:val="20"/>
      <w:lang w:eastAsia="ru-RU"/>
    </w:rPr>
  </w:style>
  <w:style w:type="character" w:customStyle="1" w:styleId="22">
    <w:name w:val="Основной текст 2 Знак"/>
    <w:basedOn w:val="a0"/>
    <w:link w:val="21"/>
    <w:semiHidden/>
    <w:rsid w:val="006C5D13"/>
    <w:rPr>
      <w:rFonts w:ascii="Times New Roman" w:eastAsia="Times New Roman" w:hAnsi="Times New Roman" w:cs="Times New Roman"/>
      <w:sz w:val="24"/>
      <w:szCs w:val="20"/>
      <w:lang w:eastAsia="ru-RU"/>
    </w:rPr>
  </w:style>
  <w:style w:type="paragraph" w:styleId="a8">
    <w:name w:val="List Paragraph"/>
    <w:basedOn w:val="a"/>
    <w:uiPriority w:val="34"/>
    <w:qFormat/>
    <w:rsid w:val="00E4009B"/>
    <w:pPr>
      <w:ind w:left="720"/>
      <w:contextualSpacing/>
    </w:pPr>
  </w:style>
  <w:style w:type="paragraph" w:styleId="a9">
    <w:name w:val="footer"/>
    <w:basedOn w:val="a"/>
    <w:link w:val="aa"/>
    <w:unhideWhenUsed/>
    <w:rsid w:val="00CE771C"/>
    <w:pPr>
      <w:tabs>
        <w:tab w:val="center" w:pos="4677"/>
        <w:tab w:val="right" w:pos="9355"/>
      </w:tabs>
      <w:spacing w:line="240" w:lineRule="auto"/>
    </w:pPr>
  </w:style>
  <w:style w:type="character" w:customStyle="1" w:styleId="aa">
    <w:name w:val="Нижний колонтитул Знак"/>
    <w:basedOn w:val="a0"/>
    <w:link w:val="a9"/>
    <w:uiPriority w:val="99"/>
    <w:rsid w:val="00CE771C"/>
  </w:style>
  <w:style w:type="character" w:styleId="ab">
    <w:name w:val="Hyperlink"/>
    <w:basedOn w:val="a0"/>
    <w:uiPriority w:val="99"/>
    <w:unhideWhenUsed/>
    <w:rsid w:val="00C84AAF"/>
    <w:rPr>
      <w:color w:val="0000FF"/>
      <w:u w:val="single"/>
    </w:rPr>
  </w:style>
  <w:style w:type="character" w:customStyle="1" w:styleId="10">
    <w:name w:val="Заголовок 1 Знак"/>
    <w:basedOn w:val="a0"/>
    <w:link w:val="1"/>
    <w:uiPriority w:val="9"/>
    <w:rsid w:val="00311C57"/>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unhideWhenUsed/>
    <w:qFormat/>
    <w:rsid w:val="00311C57"/>
    <w:pPr>
      <w:outlineLvl w:val="9"/>
    </w:pPr>
    <w:rPr>
      <w:lang w:eastAsia="ru-RU"/>
    </w:rPr>
  </w:style>
  <w:style w:type="paragraph" w:styleId="23">
    <w:name w:val="toc 2"/>
    <w:basedOn w:val="a"/>
    <w:next w:val="a"/>
    <w:autoRedefine/>
    <w:uiPriority w:val="39"/>
    <w:unhideWhenUsed/>
    <w:qFormat/>
    <w:rsid w:val="00311C57"/>
    <w:pPr>
      <w:spacing w:after="100"/>
      <w:ind w:left="220"/>
    </w:pPr>
    <w:rPr>
      <w:rFonts w:eastAsiaTheme="minorEastAsia"/>
      <w:lang w:eastAsia="ru-RU"/>
    </w:rPr>
  </w:style>
  <w:style w:type="paragraph" w:styleId="11">
    <w:name w:val="toc 1"/>
    <w:basedOn w:val="a"/>
    <w:next w:val="a"/>
    <w:autoRedefine/>
    <w:uiPriority w:val="39"/>
    <w:unhideWhenUsed/>
    <w:qFormat/>
    <w:rsid w:val="00311C57"/>
    <w:pPr>
      <w:spacing w:after="100"/>
    </w:pPr>
    <w:rPr>
      <w:rFonts w:eastAsiaTheme="minorEastAsia"/>
      <w:lang w:eastAsia="ru-RU"/>
    </w:rPr>
  </w:style>
  <w:style w:type="paragraph" w:styleId="31">
    <w:name w:val="toc 3"/>
    <w:basedOn w:val="a"/>
    <w:next w:val="a"/>
    <w:autoRedefine/>
    <w:uiPriority w:val="39"/>
    <w:unhideWhenUsed/>
    <w:qFormat/>
    <w:rsid w:val="00311C57"/>
    <w:pPr>
      <w:spacing w:after="100"/>
      <w:ind w:left="440"/>
    </w:pPr>
    <w:rPr>
      <w:rFonts w:eastAsiaTheme="minorEastAsia"/>
      <w:lang w:eastAsia="ru-RU"/>
    </w:rPr>
  </w:style>
  <w:style w:type="paragraph" w:customStyle="1" w:styleId="12">
    <w:name w:val="Стиль1"/>
    <w:basedOn w:val="1"/>
    <w:link w:val="13"/>
    <w:qFormat/>
    <w:rsid w:val="00311C57"/>
    <w:pPr>
      <w:jc w:val="center"/>
    </w:pPr>
    <w:rPr>
      <w:rFonts w:ascii="FreeSetDemiC" w:hAnsi="FreeSetDemiC"/>
      <w:sz w:val="24"/>
      <w:szCs w:val="24"/>
    </w:rPr>
  </w:style>
  <w:style w:type="character" w:customStyle="1" w:styleId="20">
    <w:name w:val="Заголовок 2 Знак"/>
    <w:basedOn w:val="a0"/>
    <w:link w:val="2"/>
    <w:uiPriority w:val="9"/>
    <w:rsid w:val="00311C57"/>
    <w:rPr>
      <w:rFonts w:asciiTheme="majorHAnsi" w:eastAsiaTheme="majorEastAsia" w:hAnsiTheme="majorHAnsi" w:cstheme="majorBidi"/>
      <w:b/>
      <w:bCs/>
      <w:color w:val="4F81BD" w:themeColor="accent1"/>
      <w:sz w:val="26"/>
      <w:szCs w:val="26"/>
    </w:rPr>
  </w:style>
  <w:style w:type="character" w:customStyle="1" w:styleId="13">
    <w:name w:val="Стиль1 Знак"/>
    <w:basedOn w:val="10"/>
    <w:link w:val="12"/>
    <w:rsid w:val="00311C57"/>
    <w:rPr>
      <w:rFonts w:ascii="FreeSetDemiC" w:eastAsiaTheme="majorEastAsia" w:hAnsi="FreeSetDemiC" w:cstheme="majorBidi"/>
      <w:b/>
      <w:bCs/>
      <w:color w:val="365F91" w:themeColor="accent1" w:themeShade="BF"/>
      <w:sz w:val="24"/>
      <w:szCs w:val="24"/>
    </w:rPr>
  </w:style>
  <w:style w:type="character" w:customStyle="1" w:styleId="30">
    <w:name w:val="Заголовок 3 Знак"/>
    <w:basedOn w:val="a0"/>
    <w:link w:val="3"/>
    <w:uiPriority w:val="9"/>
    <w:rsid w:val="002D32E7"/>
    <w:rPr>
      <w:rFonts w:asciiTheme="majorHAnsi" w:eastAsiaTheme="majorEastAsia" w:hAnsiTheme="majorHAnsi" w:cstheme="majorBidi"/>
      <w:b/>
      <w:bCs/>
      <w:color w:val="4F81BD" w:themeColor="accent1"/>
    </w:rPr>
  </w:style>
  <w:style w:type="paragraph" w:styleId="ad">
    <w:name w:val="footnote text"/>
    <w:basedOn w:val="a"/>
    <w:link w:val="ae"/>
    <w:uiPriority w:val="99"/>
    <w:semiHidden/>
    <w:unhideWhenUsed/>
    <w:rsid w:val="00095067"/>
    <w:pPr>
      <w:spacing w:line="240" w:lineRule="auto"/>
    </w:pPr>
    <w:rPr>
      <w:sz w:val="20"/>
      <w:szCs w:val="20"/>
    </w:rPr>
  </w:style>
  <w:style w:type="character" w:customStyle="1" w:styleId="ae">
    <w:name w:val="Текст сноски Знак"/>
    <w:basedOn w:val="a0"/>
    <w:link w:val="ad"/>
    <w:uiPriority w:val="99"/>
    <w:semiHidden/>
    <w:rsid w:val="00095067"/>
    <w:rPr>
      <w:sz w:val="20"/>
      <w:szCs w:val="20"/>
    </w:rPr>
  </w:style>
  <w:style w:type="character" w:styleId="af">
    <w:name w:val="footnote reference"/>
    <w:basedOn w:val="a0"/>
    <w:uiPriority w:val="99"/>
    <w:semiHidden/>
    <w:unhideWhenUsed/>
    <w:rsid w:val="00095067"/>
    <w:rPr>
      <w:vertAlign w:val="superscript"/>
    </w:rPr>
  </w:style>
  <w:style w:type="character" w:customStyle="1" w:styleId="apple-converted-space">
    <w:name w:val="apple-converted-space"/>
    <w:basedOn w:val="a0"/>
    <w:rsid w:val="00B037EF"/>
  </w:style>
  <w:style w:type="paragraph" w:styleId="af0">
    <w:name w:val="List"/>
    <w:basedOn w:val="a"/>
    <w:rsid w:val="00614653"/>
    <w:pPr>
      <w:shd w:val="clear" w:color="auto" w:fill="auto"/>
      <w:spacing w:line="240" w:lineRule="auto"/>
      <w:ind w:left="360" w:right="0" w:hanging="360"/>
      <w:jc w:val="left"/>
    </w:pPr>
    <w:rPr>
      <w:rFonts w:eastAsia="Times New Roman"/>
      <w:sz w:val="20"/>
      <w:szCs w:val="20"/>
      <w:lang w:eastAsia="ru-RU"/>
    </w:rPr>
  </w:style>
  <w:style w:type="paragraph" w:styleId="24">
    <w:name w:val="List 2"/>
    <w:basedOn w:val="a"/>
    <w:rsid w:val="00614653"/>
    <w:pPr>
      <w:shd w:val="clear" w:color="auto" w:fill="auto"/>
      <w:spacing w:line="240" w:lineRule="auto"/>
      <w:ind w:left="720" w:right="0" w:hanging="360"/>
      <w:jc w:val="left"/>
    </w:pPr>
    <w:rPr>
      <w:rFonts w:eastAsia="Times New Roman"/>
      <w:sz w:val="20"/>
      <w:szCs w:val="20"/>
      <w:lang w:eastAsia="ru-RU"/>
    </w:rPr>
  </w:style>
  <w:style w:type="character" w:styleId="af1">
    <w:name w:val="annotation reference"/>
    <w:basedOn w:val="a0"/>
    <w:uiPriority w:val="99"/>
    <w:semiHidden/>
    <w:unhideWhenUsed/>
    <w:rsid w:val="004432B8"/>
    <w:rPr>
      <w:sz w:val="16"/>
      <w:szCs w:val="16"/>
    </w:rPr>
  </w:style>
  <w:style w:type="paragraph" w:styleId="af2">
    <w:name w:val="annotation text"/>
    <w:basedOn w:val="a"/>
    <w:link w:val="af3"/>
    <w:uiPriority w:val="99"/>
    <w:semiHidden/>
    <w:unhideWhenUsed/>
    <w:rsid w:val="004432B8"/>
    <w:pPr>
      <w:spacing w:line="240" w:lineRule="auto"/>
    </w:pPr>
    <w:rPr>
      <w:sz w:val="20"/>
      <w:szCs w:val="20"/>
    </w:rPr>
  </w:style>
  <w:style w:type="character" w:customStyle="1" w:styleId="af3">
    <w:name w:val="Текст примечания Знак"/>
    <w:basedOn w:val="a0"/>
    <w:link w:val="af2"/>
    <w:uiPriority w:val="99"/>
    <w:semiHidden/>
    <w:rsid w:val="004432B8"/>
    <w:rPr>
      <w:rFonts w:ascii="Times New Roman" w:eastAsia="Calibri" w:hAnsi="Times New Roman" w:cs="Times New Roman"/>
      <w:sz w:val="20"/>
      <w:szCs w:val="20"/>
      <w:shd w:val="clear" w:color="auto" w:fill="FFFFFF"/>
    </w:rPr>
  </w:style>
  <w:style w:type="paragraph" w:styleId="af4">
    <w:name w:val="annotation subject"/>
    <w:basedOn w:val="af2"/>
    <w:next w:val="af2"/>
    <w:link w:val="af5"/>
    <w:uiPriority w:val="99"/>
    <w:semiHidden/>
    <w:unhideWhenUsed/>
    <w:rsid w:val="00EF2C16"/>
    <w:rPr>
      <w:b/>
      <w:bCs/>
    </w:rPr>
  </w:style>
  <w:style w:type="character" w:customStyle="1" w:styleId="af5">
    <w:name w:val="Тема примечания Знак"/>
    <w:basedOn w:val="af3"/>
    <w:link w:val="af4"/>
    <w:uiPriority w:val="99"/>
    <w:semiHidden/>
    <w:rsid w:val="00EF2C16"/>
    <w:rPr>
      <w:rFonts w:ascii="Times New Roman" w:eastAsia="Calibri" w:hAnsi="Times New Roman" w:cs="Times New Roman"/>
      <w:b/>
      <w:bCs/>
      <w:sz w:val="20"/>
      <w:szCs w:val="20"/>
      <w:shd w:val="clear" w:color="auto" w:fill="FFFFFF"/>
    </w:rPr>
  </w:style>
  <w:style w:type="paragraph" w:customStyle="1" w:styleId="210">
    <w:name w:val="Основной текст 21"/>
    <w:basedOn w:val="a"/>
    <w:rsid w:val="00D3257A"/>
    <w:pPr>
      <w:shd w:val="clear" w:color="auto" w:fill="auto"/>
      <w:spacing w:before="120" w:after="120" w:line="240" w:lineRule="auto"/>
      <w:ind w:left="0" w:right="0" w:firstLine="0"/>
      <w:jc w:val="center"/>
    </w:pPr>
    <w:rPr>
      <w:rFonts w:ascii="Marlett" w:eastAsia="Marlett" w:hAnsi="Marlett"/>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653"/>
    <w:pPr>
      <w:shd w:val="clear" w:color="auto" w:fill="FFFFFF"/>
      <w:spacing w:after="0"/>
      <w:ind w:left="11" w:right="23" w:firstLine="556"/>
      <w:jc w:val="both"/>
    </w:pPr>
    <w:rPr>
      <w:rFonts w:ascii="Times New Roman" w:eastAsia="Calibri" w:hAnsi="Times New Roman" w:cs="Times New Roman"/>
      <w:szCs w:val="24"/>
    </w:rPr>
  </w:style>
  <w:style w:type="paragraph" w:styleId="1">
    <w:name w:val="heading 1"/>
    <w:basedOn w:val="a"/>
    <w:next w:val="a"/>
    <w:link w:val="10"/>
    <w:uiPriority w:val="9"/>
    <w:qFormat/>
    <w:rsid w:val="00311C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11C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D32E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46E0C"/>
    <w:pPr>
      <w:tabs>
        <w:tab w:val="center" w:pos="4677"/>
        <w:tab w:val="right" w:pos="9355"/>
      </w:tabs>
      <w:spacing w:line="240" w:lineRule="auto"/>
    </w:pPr>
    <w:rPr>
      <w:rFonts w:eastAsia="Times New Roman"/>
      <w:sz w:val="24"/>
      <w:lang w:eastAsia="ru-RU"/>
    </w:rPr>
  </w:style>
  <w:style w:type="character" w:customStyle="1" w:styleId="a4">
    <w:name w:val="Верхний колонтитул Знак"/>
    <w:basedOn w:val="a0"/>
    <w:link w:val="a3"/>
    <w:uiPriority w:val="99"/>
    <w:rsid w:val="00E46E0C"/>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46E0C"/>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6E0C"/>
    <w:rPr>
      <w:rFonts w:ascii="Tahoma" w:hAnsi="Tahoma" w:cs="Tahoma"/>
      <w:sz w:val="16"/>
      <w:szCs w:val="16"/>
    </w:rPr>
  </w:style>
  <w:style w:type="table" w:styleId="a7">
    <w:name w:val="Table Grid"/>
    <w:basedOn w:val="a1"/>
    <w:uiPriority w:val="59"/>
    <w:rsid w:val="00C45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semiHidden/>
    <w:unhideWhenUsed/>
    <w:rsid w:val="006C5D13"/>
    <w:pPr>
      <w:spacing w:before="360" w:after="360" w:line="240" w:lineRule="auto"/>
      <w:jc w:val="center"/>
    </w:pPr>
    <w:rPr>
      <w:rFonts w:eastAsia="Times New Roman"/>
      <w:sz w:val="24"/>
      <w:szCs w:val="20"/>
      <w:lang w:eastAsia="ru-RU"/>
    </w:rPr>
  </w:style>
  <w:style w:type="character" w:customStyle="1" w:styleId="22">
    <w:name w:val="Основной текст 2 Знак"/>
    <w:basedOn w:val="a0"/>
    <w:link w:val="21"/>
    <w:semiHidden/>
    <w:rsid w:val="006C5D13"/>
    <w:rPr>
      <w:rFonts w:ascii="Times New Roman" w:eastAsia="Times New Roman" w:hAnsi="Times New Roman" w:cs="Times New Roman"/>
      <w:sz w:val="24"/>
      <w:szCs w:val="20"/>
      <w:lang w:eastAsia="ru-RU"/>
    </w:rPr>
  </w:style>
  <w:style w:type="paragraph" w:styleId="a8">
    <w:name w:val="List Paragraph"/>
    <w:basedOn w:val="a"/>
    <w:uiPriority w:val="34"/>
    <w:qFormat/>
    <w:rsid w:val="00E4009B"/>
    <w:pPr>
      <w:ind w:left="720"/>
      <w:contextualSpacing/>
    </w:pPr>
  </w:style>
  <w:style w:type="paragraph" w:styleId="a9">
    <w:name w:val="footer"/>
    <w:basedOn w:val="a"/>
    <w:link w:val="aa"/>
    <w:unhideWhenUsed/>
    <w:rsid w:val="00CE771C"/>
    <w:pPr>
      <w:tabs>
        <w:tab w:val="center" w:pos="4677"/>
        <w:tab w:val="right" w:pos="9355"/>
      </w:tabs>
      <w:spacing w:line="240" w:lineRule="auto"/>
    </w:pPr>
  </w:style>
  <w:style w:type="character" w:customStyle="1" w:styleId="aa">
    <w:name w:val="Нижний колонтитул Знак"/>
    <w:basedOn w:val="a0"/>
    <w:link w:val="a9"/>
    <w:uiPriority w:val="99"/>
    <w:rsid w:val="00CE771C"/>
  </w:style>
  <w:style w:type="character" w:styleId="ab">
    <w:name w:val="Hyperlink"/>
    <w:basedOn w:val="a0"/>
    <w:uiPriority w:val="99"/>
    <w:unhideWhenUsed/>
    <w:rsid w:val="00C84AAF"/>
    <w:rPr>
      <w:color w:val="0000FF"/>
      <w:u w:val="single"/>
    </w:rPr>
  </w:style>
  <w:style w:type="character" w:customStyle="1" w:styleId="10">
    <w:name w:val="Заголовок 1 Знак"/>
    <w:basedOn w:val="a0"/>
    <w:link w:val="1"/>
    <w:uiPriority w:val="9"/>
    <w:rsid w:val="00311C57"/>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unhideWhenUsed/>
    <w:qFormat/>
    <w:rsid w:val="00311C57"/>
    <w:pPr>
      <w:outlineLvl w:val="9"/>
    </w:pPr>
    <w:rPr>
      <w:lang w:eastAsia="ru-RU"/>
    </w:rPr>
  </w:style>
  <w:style w:type="paragraph" w:styleId="23">
    <w:name w:val="toc 2"/>
    <w:basedOn w:val="a"/>
    <w:next w:val="a"/>
    <w:autoRedefine/>
    <w:uiPriority w:val="39"/>
    <w:unhideWhenUsed/>
    <w:qFormat/>
    <w:rsid w:val="00311C57"/>
    <w:pPr>
      <w:spacing w:after="100"/>
      <w:ind w:left="220"/>
    </w:pPr>
    <w:rPr>
      <w:rFonts w:eastAsiaTheme="minorEastAsia"/>
      <w:lang w:eastAsia="ru-RU"/>
    </w:rPr>
  </w:style>
  <w:style w:type="paragraph" w:styleId="11">
    <w:name w:val="toc 1"/>
    <w:basedOn w:val="a"/>
    <w:next w:val="a"/>
    <w:autoRedefine/>
    <w:uiPriority w:val="39"/>
    <w:unhideWhenUsed/>
    <w:qFormat/>
    <w:rsid w:val="00311C57"/>
    <w:pPr>
      <w:spacing w:after="100"/>
    </w:pPr>
    <w:rPr>
      <w:rFonts w:eastAsiaTheme="minorEastAsia"/>
      <w:lang w:eastAsia="ru-RU"/>
    </w:rPr>
  </w:style>
  <w:style w:type="paragraph" w:styleId="31">
    <w:name w:val="toc 3"/>
    <w:basedOn w:val="a"/>
    <w:next w:val="a"/>
    <w:autoRedefine/>
    <w:uiPriority w:val="39"/>
    <w:unhideWhenUsed/>
    <w:qFormat/>
    <w:rsid w:val="00311C57"/>
    <w:pPr>
      <w:spacing w:after="100"/>
      <w:ind w:left="440"/>
    </w:pPr>
    <w:rPr>
      <w:rFonts w:eastAsiaTheme="minorEastAsia"/>
      <w:lang w:eastAsia="ru-RU"/>
    </w:rPr>
  </w:style>
  <w:style w:type="paragraph" w:customStyle="1" w:styleId="12">
    <w:name w:val="Стиль1"/>
    <w:basedOn w:val="1"/>
    <w:link w:val="13"/>
    <w:qFormat/>
    <w:rsid w:val="00311C57"/>
    <w:pPr>
      <w:jc w:val="center"/>
    </w:pPr>
    <w:rPr>
      <w:rFonts w:ascii="FreeSetDemiC" w:hAnsi="FreeSetDemiC"/>
      <w:sz w:val="24"/>
      <w:szCs w:val="24"/>
    </w:rPr>
  </w:style>
  <w:style w:type="character" w:customStyle="1" w:styleId="20">
    <w:name w:val="Заголовок 2 Знак"/>
    <w:basedOn w:val="a0"/>
    <w:link w:val="2"/>
    <w:uiPriority w:val="9"/>
    <w:rsid w:val="00311C57"/>
    <w:rPr>
      <w:rFonts w:asciiTheme="majorHAnsi" w:eastAsiaTheme="majorEastAsia" w:hAnsiTheme="majorHAnsi" w:cstheme="majorBidi"/>
      <w:b/>
      <w:bCs/>
      <w:color w:val="4F81BD" w:themeColor="accent1"/>
      <w:sz w:val="26"/>
      <w:szCs w:val="26"/>
    </w:rPr>
  </w:style>
  <w:style w:type="character" w:customStyle="1" w:styleId="13">
    <w:name w:val="Стиль1 Знак"/>
    <w:basedOn w:val="10"/>
    <w:link w:val="12"/>
    <w:rsid w:val="00311C57"/>
    <w:rPr>
      <w:rFonts w:ascii="FreeSetDemiC" w:eastAsiaTheme="majorEastAsia" w:hAnsi="FreeSetDemiC" w:cstheme="majorBidi"/>
      <w:b/>
      <w:bCs/>
      <w:color w:val="365F91" w:themeColor="accent1" w:themeShade="BF"/>
      <w:sz w:val="24"/>
      <w:szCs w:val="24"/>
    </w:rPr>
  </w:style>
  <w:style w:type="character" w:customStyle="1" w:styleId="30">
    <w:name w:val="Заголовок 3 Знак"/>
    <w:basedOn w:val="a0"/>
    <w:link w:val="3"/>
    <w:uiPriority w:val="9"/>
    <w:rsid w:val="002D32E7"/>
    <w:rPr>
      <w:rFonts w:asciiTheme="majorHAnsi" w:eastAsiaTheme="majorEastAsia" w:hAnsiTheme="majorHAnsi" w:cstheme="majorBidi"/>
      <w:b/>
      <w:bCs/>
      <w:color w:val="4F81BD" w:themeColor="accent1"/>
    </w:rPr>
  </w:style>
  <w:style w:type="paragraph" w:styleId="ad">
    <w:name w:val="footnote text"/>
    <w:basedOn w:val="a"/>
    <w:link w:val="ae"/>
    <w:uiPriority w:val="99"/>
    <w:semiHidden/>
    <w:unhideWhenUsed/>
    <w:rsid w:val="00095067"/>
    <w:pPr>
      <w:spacing w:line="240" w:lineRule="auto"/>
    </w:pPr>
    <w:rPr>
      <w:sz w:val="20"/>
      <w:szCs w:val="20"/>
    </w:rPr>
  </w:style>
  <w:style w:type="character" w:customStyle="1" w:styleId="ae">
    <w:name w:val="Текст сноски Знак"/>
    <w:basedOn w:val="a0"/>
    <w:link w:val="ad"/>
    <w:uiPriority w:val="99"/>
    <w:semiHidden/>
    <w:rsid w:val="00095067"/>
    <w:rPr>
      <w:sz w:val="20"/>
      <w:szCs w:val="20"/>
    </w:rPr>
  </w:style>
  <w:style w:type="character" w:styleId="af">
    <w:name w:val="footnote reference"/>
    <w:basedOn w:val="a0"/>
    <w:uiPriority w:val="99"/>
    <w:semiHidden/>
    <w:unhideWhenUsed/>
    <w:rsid w:val="00095067"/>
    <w:rPr>
      <w:vertAlign w:val="superscript"/>
    </w:rPr>
  </w:style>
  <w:style w:type="character" w:customStyle="1" w:styleId="apple-converted-space">
    <w:name w:val="apple-converted-space"/>
    <w:basedOn w:val="a0"/>
    <w:rsid w:val="00B037EF"/>
  </w:style>
  <w:style w:type="paragraph" w:styleId="af0">
    <w:name w:val="List"/>
    <w:basedOn w:val="a"/>
    <w:rsid w:val="00614653"/>
    <w:pPr>
      <w:shd w:val="clear" w:color="auto" w:fill="auto"/>
      <w:spacing w:line="240" w:lineRule="auto"/>
      <w:ind w:left="360" w:right="0" w:hanging="360"/>
      <w:jc w:val="left"/>
    </w:pPr>
    <w:rPr>
      <w:rFonts w:eastAsia="Times New Roman"/>
      <w:sz w:val="20"/>
      <w:szCs w:val="20"/>
      <w:lang w:eastAsia="ru-RU"/>
    </w:rPr>
  </w:style>
  <w:style w:type="paragraph" w:styleId="24">
    <w:name w:val="List 2"/>
    <w:basedOn w:val="a"/>
    <w:rsid w:val="00614653"/>
    <w:pPr>
      <w:shd w:val="clear" w:color="auto" w:fill="auto"/>
      <w:spacing w:line="240" w:lineRule="auto"/>
      <w:ind w:left="720" w:right="0" w:hanging="360"/>
      <w:jc w:val="left"/>
    </w:pPr>
    <w:rPr>
      <w:rFonts w:eastAsia="Times New Roman"/>
      <w:sz w:val="20"/>
      <w:szCs w:val="20"/>
      <w:lang w:eastAsia="ru-RU"/>
    </w:rPr>
  </w:style>
  <w:style w:type="character" w:styleId="af1">
    <w:name w:val="annotation reference"/>
    <w:basedOn w:val="a0"/>
    <w:uiPriority w:val="99"/>
    <w:semiHidden/>
    <w:unhideWhenUsed/>
    <w:rsid w:val="004432B8"/>
    <w:rPr>
      <w:sz w:val="16"/>
      <w:szCs w:val="16"/>
    </w:rPr>
  </w:style>
  <w:style w:type="paragraph" w:styleId="af2">
    <w:name w:val="annotation text"/>
    <w:basedOn w:val="a"/>
    <w:link w:val="af3"/>
    <w:uiPriority w:val="99"/>
    <w:semiHidden/>
    <w:unhideWhenUsed/>
    <w:rsid w:val="004432B8"/>
    <w:pPr>
      <w:spacing w:line="240" w:lineRule="auto"/>
    </w:pPr>
    <w:rPr>
      <w:sz w:val="20"/>
      <w:szCs w:val="20"/>
    </w:rPr>
  </w:style>
  <w:style w:type="character" w:customStyle="1" w:styleId="af3">
    <w:name w:val="Текст примечания Знак"/>
    <w:basedOn w:val="a0"/>
    <w:link w:val="af2"/>
    <w:uiPriority w:val="99"/>
    <w:semiHidden/>
    <w:rsid w:val="004432B8"/>
    <w:rPr>
      <w:rFonts w:ascii="Times New Roman" w:eastAsia="Calibri" w:hAnsi="Times New Roman" w:cs="Times New Roman"/>
      <w:sz w:val="20"/>
      <w:szCs w:val="20"/>
      <w:shd w:val="clear" w:color="auto" w:fill="FFFFFF"/>
    </w:rPr>
  </w:style>
  <w:style w:type="paragraph" w:styleId="af4">
    <w:name w:val="annotation subject"/>
    <w:basedOn w:val="af2"/>
    <w:next w:val="af2"/>
    <w:link w:val="af5"/>
    <w:uiPriority w:val="99"/>
    <w:semiHidden/>
    <w:unhideWhenUsed/>
    <w:rsid w:val="00EF2C16"/>
    <w:rPr>
      <w:b/>
      <w:bCs/>
    </w:rPr>
  </w:style>
  <w:style w:type="character" w:customStyle="1" w:styleId="af5">
    <w:name w:val="Тема примечания Знак"/>
    <w:basedOn w:val="af3"/>
    <w:link w:val="af4"/>
    <w:uiPriority w:val="99"/>
    <w:semiHidden/>
    <w:rsid w:val="00EF2C16"/>
    <w:rPr>
      <w:rFonts w:ascii="Times New Roman" w:eastAsia="Calibri" w:hAnsi="Times New Roman" w:cs="Times New Roman"/>
      <w:b/>
      <w:bCs/>
      <w:sz w:val="20"/>
      <w:szCs w:val="20"/>
      <w:shd w:val="clear" w:color="auto" w:fill="FFFFFF"/>
    </w:rPr>
  </w:style>
  <w:style w:type="paragraph" w:customStyle="1" w:styleId="210">
    <w:name w:val="Основной текст 21"/>
    <w:basedOn w:val="a"/>
    <w:rsid w:val="00D3257A"/>
    <w:pPr>
      <w:shd w:val="clear" w:color="auto" w:fill="auto"/>
      <w:spacing w:before="120" w:after="120" w:line="240" w:lineRule="auto"/>
      <w:ind w:left="0" w:right="0" w:firstLine="0"/>
      <w:jc w:val="center"/>
    </w:pPr>
    <w:rPr>
      <w:rFonts w:ascii="Marlett" w:eastAsia="Marlett" w:hAnsi="Marlett"/>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88353">
      <w:bodyDiv w:val="1"/>
      <w:marLeft w:val="0"/>
      <w:marRight w:val="0"/>
      <w:marTop w:val="0"/>
      <w:marBottom w:val="0"/>
      <w:divBdr>
        <w:top w:val="none" w:sz="0" w:space="0" w:color="auto"/>
        <w:left w:val="none" w:sz="0" w:space="0" w:color="auto"/>
        <w:bottom w:val="none" w:sz="0" w:space="0" w:color="auto"/>
        <w:right w:val="none" w:sz="0" w:space="0" w:color="auto"/>
      </w:divBdr>
    </w:div>
    <w:div w:id="1039866292">
      <w:bodyDiv w:val="1"/>
      <w:marLeft w:val="0"/>
      <w:marRight w:val="0"/>
      <w:marTop w:val="0"/>
      <w:marBottom w:val="0"/>
      <w:divBdr>
        <w:top w:val="none" w:sz="0" w:space="0" w:color="auto"/>
        <w:left w:val="none" w:sz="0" w:space="0" w:color="auto"/>
        <w:bottom w:val="none" w:sz="0" w:space="0" w:color="auto"/>
        <w:right w:val="none" w:sz="0" w:space="0" w:color="auto"/>
      </w:divBdr>
    </w:div>
    <w:div w:id="1178470807">
      <w:bodyDiv w:val="1"/>
      <w:marLeft w:val="0"/>
      <w:marRight w:val="0"/>
      <w:marTop w:val="0"/>
      <w:marBottom w:val="0"/>
      <w:divBdr>
        <w:top w:val="none" w:sz="0" w:space="0" w:color="auto"/>
        <w:left w:val="none" w:sz="0" w:space="0" w:color="auto"/>
        <w:bottom w:val="none" w:sz="0" w:space="0" w:color="auto"/>
        <w:right w:val="none" w:sz="0" w:space="0" w:color="auto"/>
      </w:divBdr>
    </w:div>
    <w:div w:id="1267230050">
      <w:bodyDiv w:val="1"/>
      <w:marLeft w:val="0"/>
      <w:marRight w:val="0"/>
      <w:marTop w:val="0"/>
      <w:marBottom w:val="0"/>
      <w:divBdr>
        <w:top w:val="none" w:sz="0" w:space="0" w:color="auto"/>
        <w:left w:val="none" w:sz="0" w:space="0" w:color="auto"/>
        <w:bottom w:val="none" w:sz="0" w:space="0" w:color="auto"/>
        <w:right w:val="none" w:sz="0" w:space="0" w:color="auto"/>
      </w:divBdr>
    </w:div>
    <w:div w:id="1548057560">
      <w:bodyDiv w:val="1"/>
      <w:marLeft w:val="0"/>
      <w:marRight w:val="0"/>
      <w:marTop w:val="0"/>
      <w:marBottom w:val="0"/>
      <w:divBdr>
        <w:top w:val="none" w:sz="0" w:space="0" w:color="auto"/>
        <w:left w:val="none" w:sz="0" w:space="0" w:color="auto"/>
        <w:bottom w:val="none" w:sz="0" w:space="0" w:color="auto"/>
        <w:right w:val="none" w:sz="0" w:space="0" w:color="auto"/>
      </w:divBdr>
    </w:div>
    <w:div w:id="1682394274">
      <w:bodyDiv w:val="1"/>
      <w:marLeft w:val="0"/>
      <w:marRight w:val="0"/>
      <w:marTop w:val="0"/>
      <w:marBottom w:val="0"/>
      <w:divBdr>
        <w:top w:val="none" w:sz="0" w:space="0" w:color="auto"/>
        <w:left w:val="none" w:sz="0" w:space="0" w:color="auto"/>
        <w:bottom w:val="none" w:sz="0" w:space="0" w:color="auto"/>
        <w:right w:val="none" w:sz="0" w:space="0" w:color="auto"/>
      </w:divBdr>
    </w:div>
    <w:div w:id="1882135288">
      <w:bodyDiv w:val="1"/>
      <w:marLeft w:val="0"/>
      <w:marRight w:val="0"/>
      <w:marTop w:val="0"/>
      <w:marBottom w:val="0"/>
      <w:divBdr>
        <w:top w:val="none" w:sz="0" w:space="0" w:color="auto"/>
        <w:left w:val="none" w:sz="0" w:space="0" w:color="auto"/>
        <w:bottom w:val="none" w:sz="0" w:space="0" w:color="auto"/>
        <w:right w:val="none" w:sz="0" w:space="0" w:color="auto"/>
      </w:divBdr>
    </w:div>
    <w:div w:id="1886215744">
      <w:bodyDiv w:val="1"/>
      <w:marLeft w:val="0"/>
      <w:marRight w:val="0"/>
      <w:marTop w:val="0"/>
      <w:marBottom w:val="0"/>
      <w:divBdr>
        <w:top w:val="none" w:sz="0" w:space="0" w:color="auto"/>
        <w:left w:val="none" w:sz="0" w:space="0" w:color="auto"/>
        <w:bottom w:val="none" w:sz="0" w:space="0" w:color="auto"/>
        <w:right w:val="none" w:sz="0" w:space="0" w:color="auto"/>
      </w:divBdr>
    </w:div>
    <w:div w:id="1893156231">
      <w:bodyDiv w:val="1"/>
      <w:marLeft w:val="0"/>
      <w:marRight w:val="0"/>
      <w:marTop w:val="0"/>
      <w:marBottom w:val="0"/>
      <w:divBdr>
        <w:top w:val="none" w:sz="0" w:space="0" w:color="auto"/>
        <w:left w:val="none" w:sz="0" w:space="0" w:color="auto"/>
        <w:bottom w:val="none" w:sz="0" w:space="0" w:color="auto"/>
        <w:right w:val="none" w:sz="0" w:space="0" w:color="auto"/>
      </w:divBdr>
    </w:div>
    <w:div w:id="2022661454">
      <w:bodyDiv w:val="1"/>
      <w:marLeft w:val="0"/>
      <w:marRight w:val="0"/>
      <w:marTop w:val="0"/>
      <w:marBottom w:val="0"/>
      <w:divBdr>
        <w:top w:val="none" w:sz="0" w:space="0" w:color="auto"/>
        <w:left w:val="none" w:sz="0" w:space="0" w:color="auto"/>
        <w:bottom w:val="none" w:sz="0" w:space="0" w:color="auto"/>
        <w:right w:val="none" w:sz="0" w:space="0" w:color="auto"/>
      </w:divBdr>
    </w:div>
    <w:div w:id="2132436612">
      <w:bodyDiv w:val="1"/>
      <w:marLeft w:val="0"/>
      <w:marRight w:val="0"/>
      <w:marTop w:val="0"/>
      <w:marBottom w:val="0"/>
      <w:divBdr>
        <w:top w:val="none" w:sz="0" w:space="0" w:color="auto"/>
        <w:left w:val="none" w:sz="0" w:space="0" w:color="auto"/>
        <w:bottom w:val="none" w:sz="0" w:space="0" w:color="auto"/>
        <w:right w:val="none" w:sz="0" w:space="0" w:color="auto"/>
      </w:divBdr>
    </w:div>
    <w:div w:id="214330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74E18-0E5D-4B81-8836-83B94B39F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10</Pages>
  <Words>5115</Words>
  <Characters>29158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Кузьменко Александр</cp:lastModifiedBy>
  <cp:revision>15</cp:revision>
  <cp:lastPrinted>2017-04-04T15:04:00Z</cp:lastPrinted>
  <dcterms:created xsi:type="dcterms:W3CDTF">2017-07-06T11:49:00Z</dcterms:created>
  <dcterms:modified xsi:type="dcterms:W3CDTF">2018-09-19T10:25:00Z</dcterms:modified>
</cp:coreProperties>
</file>