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E60DBE" w:rsidRDefault="00040DE9" w:rsidP="00040DE9">
      <w:pPr>
        <w:jc w:val="center"/>
        <w:rPr>
          <w:b/>
          <w:sz w:val="22"/>
          <w:szCs w:val="22"/>
        </w:rPr>
      </w:pPr>
    </w:p>
    <w:p w:rsidR="006823E4" w:rsidRPr="00E60DBE" w:rsidRDefault="006823E4" w:rsidP="00040DE9">
      <w:pPr>
        <w:jc w:val="center"/>
        <w:rPr>
          <w:b/>
          <w:sz w:val="22"/>
          <w:szCs w:val="22"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5603"/>
        <w:gridCol w:w="4255"/>
      </w:tblGrid>
      <w:tr w:rsidR="006823E4" w:rsidRPr="00F958E1" w:rsidTr="00923DEB">
        <w:trPr>
          <w:trHeight w:val="204"/>
        </w:trPr>
        <w:tc>
          <w:tcPr>
            <w:tcW w:w="5603" w:type="dxa"/>
          </w:tcPr>
          <w:p w:rsidR="006823E4" w:rsidRPr="00E60DBE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55" w:type="dxa"/>
          </w:tcPr>
          <w:p w:rsidR="00B4157C" w:rsidRPr="00E60DBE" w:rsidRDefault="00B4157C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</w:p>
          <w:p w:rsidR="006823E4" w:rsidRPr="00F958E1" w:rsidRDefault="006823E4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  <w:r w:rsidRPr="00F958E1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F958E1">
              <w:rPr>
                <w:sz w:val="22"/>
                <w:szCs w:val="22"/>
                <w:lang w:val="ru-RU"/>
              </w:rPr>
              <w:t>Р</w:t>
            </w:r>
            <w:r w:rsidRPr="00F958E1">
              <w:rPr>
                <w:sz w:val="22"/>
                <w:szCs w:val="22"/>
                <w:lang w:val="ru-RU"/>
              </w:rPr>
              <w:t>ДУ</w:t>
            </w:r>
            <w:r w:rsidR="00C70EFC" w:rsidRPr="00F958E1">
              <w:rPr>
                <w:sz w:val="22"/>
                <w:szCs w:val="22"/>
                <w:lang w:val="ru-RU"/>
              </w:rPr>
              <w:t>–</w:t>
            </w:r>
            <w:r w:rsidR="008322BB" w:rsidRPr="00F958E1">
              <w:rPr>
                <w:sz w:val="22"/>
                <w:szCs w:val="22"/>
                <w:lang w:val="ru-RU"/>
              </w:rPr>
              <w:t>3</w:t>
            </w:r>
            <w:r w:rsidR="00C70EFC" w:rsidRPr="00F958E1">
              <w:rPr>
                <w:sz w:val="22"/>
                <w:szCs w:val="22"/>
                <w:lang w:val="ru-RU"/>
              </w:rPr>
              <w:t>–</w:t>
            </w:r>
            <w:r w:rsidR="00884F82" w:rsidRPr="00F958E1">
              <w:rPr>
                <w:sz w:val="22"/>
                <w:szCs w:val="22"/>
                <w:lang w:val="ru-RU"/>
              </w:rPr>
              <w:t>4</w:t>
            </w:r>
          </w:p>
          <w:p w:rsidR="006823E4" w:rsidRPr="00F958E1" w:rsidRDefault="006823E4" w:rsidP="00DF0630">
            <w:pPr>
              <w:pStyle w:val="a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81B34" w:rsidRPr="00F958E1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F958E1">
        <w:rPr>
          <w:b/>
          <w:szCs w:val="22"/>
        </w:rPr>
        <w:t>ИНВЕСТИЦИОННАЯ ДЕКЛАРАЦИЯ</w:t>
      </w:r>
    </w:p>
    <w:p w:rsidR="00451536" w:rsidRPr="00F958E1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F958E1">
        <w:rPr>
          <w:b/>
          <w:szCs w:val="22"/>
        </w:rPr>
        <w:t xml:space="preserve">Стратегия </w:t>
      </w:r>
      <w:r w:rsidR="00B4157C" w:rsidRPr="00F958E1">
        <w:rPr>
          <w:b/>
          <w:szCs w:val="22"/>
        </w:rPr>
        <w:t xml:space="preserve">управления </w:t>
      </w:r>
      <w:r w:rsidRPr="00F958E1">
        <w:rPr>
          <w:b/>
          <w:szCs w:val="22"/>
        </w:rPr>
        <w:t>«</w:t>
      </w:r>
      <w:r w:rsidR="00884F82" w:rsidRPr="00F958E1">
        <w:rPr>
          <w:b/>
          <w:szCs w:val="22"/>
        </w:rPr>
        <w:t>Еврооблигации</w:t>
      </w:r>
      <w:r w:rsidR="00C4709A" w:rsidRPr="00F958E1">
        <w:rPr>
          <w:b/>
          <w:szCs w:val="22"/>
        </w:rPr>
        <w:t>, доходность в долларах США</w:t>
      </w:r>
      <w:r w:rsidRPr="00F958E1">
        <w:rPr>
          <w:b/>
          <w:szCs w:val="22"/>
        </w:rPr>
        <w:t>»</w:t>
      </w:r>
    </w:p>
    <w:p w:rsidR="00581B34" w:rsidRPr="00F958E1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F958E1">
        <w:rPr>
          <w:sz w:val="22"/>
          <w:szCs w:val="22"/>
        </w:rPr>
        <w:t>Настоящая Инвестиционная Декларация</w:t>
      </w:r>
      <w:r w:rsidRPr="00F958E1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F958E1">
        <w:rPr>
          <w:color w:val="000000"/>
          <w:sz w:val="22"/>
          <w:szCs w:val="22"/>
        </w:rPr>
        <w:t>каждого Д</w:t>
      </w:r>
      <w:r w:rsidRPr="00F958E1">
        <w:rPr>
          <w:color w:val="000000"/>
          <w:sz w:val="22"/>
          <w:szCs w:val="22"/>
        </w:rPr>
        <w:t xml:space="preserve">оговора </w:t>
      </w:r>
      <w:r w:rsidRPr="00F958E1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F958E1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F958E1">
        <w:rPr>
          <w:bCs/>
          <w:sz w:val="22"/>
          <w:szCs w:val="22"/>
        </w:rPr>
        <w:t>стратегия управления «</w:t>
      </w:r>
      <w:r w:rsidR="00C4709A" w:rsidRPr="00F958E1">
        <w:rPr>
          <w:sz w:val="22"/>
          <w:szCs w:val="22"/>
        </w:rPr>
        <w:t>Еврооблигации, доходность в долларах США</w:t>
      </w:r>
      <w:r w:rsidR="00B4157C" w:rsidRPr="00F958E1">
        <w:rPr>
          <w:bCs/>
          <w:sz w:val="22"/>
          <w:szCs w:val="22"/>
        </w:rPr>
        <w:t>»</w:t>
      </w:r>
      <w:r w:rsidR="00B4157C" w:rsidRPr="00F958E1">
        <w:rPr>
          <w:b/>
          <w:bCs/>
          <w:sz w:val="22"/>
          <w:szCs w:val="22"/>
        </w:rPr>
        <w:t xml:space="preserve"> </w:t>
      </w:r>
      <w:r w:rsidR="00B4157C" w:rsidRPr="00F958E1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C70EFC" w:rsidRPr="00F958E1">
        <w:rPr>
          <w:snapToGrid w:val="0"/>
          <w:color w:val="000000"/>
          <w:sz w:val="22"/>
          <w:szCs w:val="22"/>
        </w:rPr>
        <w:t>–</w:t>
      </w:r>
      <w:r w:rsidR="00B4157C" w:rsidRPr="00F958E1">
        <w:rPr>
          <w:snapToGrid w:val="0"/>
          <w:color w:val="000000"/>
          <w:sz w:val="22"/>
          <w:szCs w:val="22"/>
        </w:rPr>
        <w:t>3 к Регламенту).</w:t>
      </w:r>
      <w:r w:rsidRPr="00F958E1">
        <w:rPr>
          <w:sz w:val="22"/>
          <w:szCs w:val="22"/>
        </w:rPr>
        <w:t xml:space="preserve"> </w:t>
      </w:r>
    </w:p>
    <w:p w:rsidR="005D7AC9" w:rsidRPr="00F958E1" w:rsidRDefault="005D7AC9" w:rsidP="00581B34">
      <w:pPr>
        <w:pStyle w:val="21"/>
        <w:ind w:firstLine="624"/>
        <w:rPr>
          <w:szCs w:val="22"/>
        </w:rPr>
      </w:pPr>
    </w:p>
    <w:p w:rsidR="00581B34" w:rsidRPr="00F958E1" w:rsidRDefault="00581B34" w:rsidP="00581B34">
      <w:pPr>
        <w:pStyle w:val="21"/>
        <w:ind w:firstLine="624"/>
        <w:rPr>
          <w:szCs w:val="22"/>
        </w:rPr>
      </w:pPr>
      <w:r w:rsidRPr="00F958E1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F958E1" w:rsidRDefault="005D7AC9" w:rsidP="00581B34">
      <w:pPr>
        <w:pStyle w:val="21"/>
        <w:ind w:firstLine="624"/>
        <w:rPr>
          <w:szCs w:val="22"/>
        </w:rPr>
      </w:pPr>
    </w:p>
    <w:p w:rsidR="00581B34" w:rsidRPr="00F958E1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F958E1">
        <w:rPr>
          <w:szCs w:val="22"/>
        </w:rPr>
        <w:t xml:space="preserve">Целью деятельности Управляющего в рамках Договора </w:t>
      </w:r>
      <w:r w:rsidR="00B4157C" w:rsidRPr="00F958E1">
        <w:rPr>
          <w:szCs w:val="22"/>
        </w:rPr>
        <w:t>доверительного управления (далее</w:t>
      </w:r>
      <w:r w:rsidR="00FA7996" w:rsidRPr="00F958E1">
        <w:rPr>
          <w:szCs w:val="22"/>
        </w:rPr>
        <w:t xml:space="preserve"> </w:t>
      </w:r>
      <w:r w:rsidR="00C70EFC" w:rsidRPr="00F958E1">
        <w:rPr>
          <w:szCs w:val="22"/>
        </w:rPr>
        <w:t>–</w:t>
      </w:r>
      <w:r w:rsidR="00B4157C" w:rsidRPr="00F958E1">
        <w:rPr>
          <w:szCs w:val="22"/>
        </w:rPr>
        <w:t xml:space="preserve"> Договор) </w:t>
      </w:r>
      <w:r w:rsidRPr="00F958E1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F958E1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F958E1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F958E1">
        <w:rPr>
          <w:szCs w:val="22"/>
        </w:rPr>
        <w:t xml:space="preserve">управления </w:t>
      </w:r>
      <w:r w:rsidR="001B7F15" w:rsidRPr="00F958E1">
        <w:rPr>
          <w:szCs w:val="22"/>
        </w:rPr>
        <w:t>«</w:t>
      </w:r>
      <w:r w:rsidR="00C4709A" w:rsidRPr="00F958E1">
        <w:rPr>
          <w:szCs w:val="22"/>
        </w:rPr>
        <w:t>Еврооблигации, доходность в долларах США</w:t>
      </w:r>
      <w:r w:rsidR="001B7F15" w:rsidRPr="00F958E1">
        <w:rPr>
          <w:szCs w:val="22"/>
        </w:rPr>
        <w:t>»</w:t>
      </w:r>
      <w:r w:rsidR="005D7AC9" w:rsidRPr="00F958E1">
        <w:rPr>
          <w:bCs/>
          <w:szCs w:val="22"/>
        </w:rPr>
        <w:t>.</w:t>
      </w:r>
      <w:r w:rsidR="00E870DF" w:rsidRPr="00F958E1">
        <w:rPr>
          <w:b/>
          <w:bCs/>
          <w:szCs w:val="22"/>
        </w:rPr>
        <w:t xml:space="preserve"> </w:t>
      </w:r>
      <w:r w:rsidR="001F34E1" w:rsidRPr="00F958E1">
        <w:rPr>
          <w:bCs/>
          <w:szCs w:val="22"/>
        </w:rPr>
        <w:t xml:space="preserve">Стратегия </w:t>
      </w:r>
      <w:r w:rsidR="00B4157C" w:rsidRPr="00F958E1">
        <w:rPr>
          <w:bCs/>
          <w:szCs w:val="22"/>
        </w:rPr>
        <w:t xml:space="preserve">управления </w:t>
      </w:r>
      <w:r w:rsidR="001F34E1" w:rsidRPr="00F958E1">
        <w:rPr>
          <w:bCs/>
          <w:szCs w:val="22"/>
        </w:rPr>
        <w:t>«</w:t>
      </w:r>
      <w:r w:rsidR="00C4709A" w:rsidRPr="00F958E1">
        <w:rPr>
          <w:szCs w:val="22"/>
        </w:rPr>
        <w:t>Еврооблигации, доходность в долларах США</w:t>
      </w:r>
      <w:r w:rsidR="001F34E1" w:rsidRPr="00F958E1">
        <w:rPr>
          <w:bCs/>
          <w:szCs w:val="22"/>
        </w:rPr>
        <w:t>»</w:t>
      </w:r>
      <w:r w:rsidR="001F34E1" w:rsidRPr="00F958E1">
        <w:rPr>
          <w:b/>
          <w:bCs/>
          <w:szCs w:val="22"/>
        </w:rPr>
        <w:t xml:space="preserve"> </w:t>
      </w:r>
      <w:r w:rsidR="001F34E1" w:rsidRPr="00F958E1">
        <w:rPr>
          <w:bCs/>
          <w:szCs w:val="22"/>
        </w:rPr>
        <w:t xml:space="preserve">является стандартной стратегией управления. </w:t>
      </w:r>
      <w:r w:rsidR="00F538D5" w:rsidRPr="00F958E1">
        <w:rPr>
          <w:bCs/>
          <w:szCs w:val="22"/>
        </w:rPr>
        <w:t>Настоящей</w:t>
      </w:r>
      <w:r w:rsidR="005D7AC9" w:rsidRPr="00F958E1">
        <w:rPr>
          <w:bCs/>
          <w:szCs w:val="22"/>
        </w:rPr>
        <w:t xml:space="preserve"> </w:t>
      </w:r>
      <w:r w:rsidR="00E870DF" w:rsidRPr="00F958E1">
        <w:rPr>
          <w:bCs/>
          <w:szCs w:val="22"/>
        </w:rPr>
        <w:t xml:space="preserve">Инвестиционной декларацией определяются </w:t>
      </w:r>
      <w:r w:rsidR="001F34E1" w:rsidRPr="00F958E1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F958E1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F958E1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F958E1">
        <w:rPr>
          <w:szCs w:val="22"/>
        </w:rPr>
        <w:t>У</w:t>
      </w:r>
      <w:r w:rsidRPr="00F958E1">
        <w:rPr>
          <w:szCs w:val="22"/>
        </w:rPr>
        <w:t>правляющий в течение всего срока действия Договора:</w:t>
      </w:r>
    </w:p>
    <w:p w:rsidR="00B4157C" w:rsidRPr="00F958E1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F958E1" w:rsidTr="00E30066">
        <w:tc>
          <w:tcPr>
            <w:tcW w:w="5628" w:type="dxa"/>
            <w:shd w:val="clear" w:color="auto" w:fill="auto"/>
          </w:tcPr>
          <w:p w:rsidR="00581B34" w:rsidRPr="00F958E1" w:rsidRDefault="00581B34" w:rsidP="00E30066">
            <w:pPr>
              <w:pStyle w:val="21"/>
              <w:jc w:val="center"/>
              <w:rPr>
                <w:szCs w:val="22"/>
              </w:rPr>
            </w:pPr>
            <w:r w:rsidRPr="00F958E1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F958E1" w:rsidRDefault="00581B34" w:rsidP="00E30066">
            <w:pPr>
              <w:pStyle w:val="21"/>
              <w:jc w:val="center"/>
              <w:rPr>
                <w:szCs w:val="22"/>
              </w:rPr>
            </w:pPr>
            <w:r w:rsidRPr="00F958E1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F958E1" w:rsidTr="00E30066">
        <w:tc>
          <w:tcPr>
            <w:tcW w:w="5628" w:type="dxa"/>
            <w:shd w:val="clear" w:color="auto" w:fill="auto"/>
          </w:tcPr>
          <w:p w:rsidR="0000727E" w:rsidRPr="00F958E1" w:rsidRDefault="0000727E" w:rsidP="00BA117D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F958E1">
              <w:rPr>
                <w:szCs w:val="22"/>
              </w:rPr>
              <w:t>Денежные средства</w:t>
            </w:r>
            <w:r w:rsidR="00884F82" w:rsidRPr="00F958E1">
              <w:rPr>
                <w:szCs w:val="22"/>
              </w:rPr>
              <w:t xml:space="preserve"> в рублях, долларах США и евро</w:t>
            </w:r>
          </w:p>
        </w:tc>
        <w:tc>
          <w:tcPr>
            <w:tcW w:w="4200" w:type="dxa"/>
            <w:shd w:val="clear" w:color="auto" w:fill="auto"/>
          </w:tcPr>
          <w:p w:rsidR="0000727E" w:rsidRPr="00F958E1" w:rsidRDefault="0000727E" w:rsidP="00E30066">
            <w:pPr>
              <w:ind w:left="1277"/>
              <w:rPr>
                <w:sz w:val="22"/>
                <w:szCs w:val="22"/>
              </w:rPr>
            </w:pPr>
            <w:r w:rsidRPr="00F958E1">
              <w:rPr>
                <w:sz w:val="22"/>
                <w:szCs w:val="22"/>
              </w:rPr>
              <w:t>до 100%</w:t>
            </w:r>
          </w:p>
        </w:tc>
      </w:tr>
      <w:tr w:rsidR="005D5CAF" w:rsidRPr="00F958E1" w:rsidTr="00E30066">
        <w:tc>
          <w:tcPr>
            <w:tcW w:w="5628" w:type="dxa"/>
            <w:shd w:val="clear" w:color="auto" w:fill="auto"/>
          </w:tcPr>
          <w:p w:rsidR="005D5CAF" w:rsidRPr="00F958E1" w:rsidRDefault="00BF78BC" w:rsidP="00E60DBE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F958E1">
              <w:rPr>
                <w:szCs w:val="22"/>
              </w:rPr>
              <w:t>Облигации</w:t>
            </w:r>
            <w:r w:rsidR="005D5CAF" w:rsidRPr="00F958E1">
              <w:rPr>
                <w:szCs w:val="22"/>
              </w:rPr>
              <w:t>,</w:t>
            </w:r>
            <w:r w:rsidR="00884F82" w:rsidRPr="00F958E1">
              <w:rPr>
                <w:szCs w:val="22"/>
              </w:rPr>
              <w:t xml:space="preserve"> номинированные в долларах США или евро и</w:t>
            </w:r>
            <w:r w:rsidR="005D5CAF" w:rsidRPr="00F958E1">
              <w:rPr>
                <w:szCs w:val="22"/>
              </w:rPr>
              <w:t xml:space="preserve"> обращающиеся на организованном рынке ценных бумаг (в соответствии с</w:t>
            </w:r>
            <w:r w:rsidR="00E60DBE" w:rsidRPr="00F958E1">
              <w:rPr>
                <w:szCs w:val="22"/>
              </w:rPr>
              <w:t>о</w:t>
            </w:r>
            <w:r w:rsidR="005D5CAF" w:rsidRPr="00F958E1">
              <w:rPr>
                <w:szCs w:val="22"/>
              </w:rPr>
              <w:t xml:space="preserve">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F958E1" w:rsidRDefault="005D5CAF" w:rsidP="001A456C">
            <w:pPr>
              <w:ind w:left="1277"/>
              <w:rPr>
                <w:sz w:val="22"/>
                <w:szCs w:val="22"/>
              </w:rPr>
            </w:pPr>
            <w:r w:rsidRPr="00F958E1">
              <w:rPr>
                <w:sz w:val="22"/>
                <w:szCs w:val="22"/>
              </w:rPr>
              <w:t xml:space="preserve">до </w:t>
            </w:r>
            <w:r w:rsidR="001A456C" w:rsidRPr="00F958E1">
              <w:rPr>
                <w:sz w:val="22"/>
                <w:szCs w:val="22"/>
              </w:rPr>
              <w:t>10</w:t>
            </w:r>
            <w:r w:rsidRPr="00F958E1">
              <w:rPr>
                <w:sz w:val="22"/>
                <w:szCs w:val="22"/>
              </w:rPr>
              <w:t>0%</w:t>
            </w:r>
          </w:p>
        </w:tc>
      </w:tr>
      <w:tr w:rsidR="00E60DBE" w:rsidRPr="00F958E1" w:rsidTr="00E30066">
        <w:tc>
          <w:tcPr>
            <w:tcW w:w="5628" w:type="dxa"/>
            <w:shd w:val="clear" w:color="auto" w:fill="auto"/>
          </w:tcPr>
          <w:p w:rsidR="00E60DBE" w:rsidRPr="00F958E1" w:rsidRDefault="00E60DBE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F958E1">
              <w:rPr>
                <w:szCs w:val="22"/>
              </w:rPr>
              <w:t>Ценные бумаги инвестиционных фондов,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E60DBE" w:rsidRPr="00F958E1" w:rsidRDefault="00E60DBE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F958E1">
              <w:rPr>
                <w:sz w:val="22"/>
                <w:szCs w:val="22"/>
              </w:rPr>
              <w:t>до</w:t>
            </w:r>
            <w:r w:rsidRPr="00F958E1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</w:tbl>
    <w:p w:rsidR="007957FC" w:rsidRPr="00F958E1" w:rsidRDefault="007957FC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DC02E6" w:rsidRPr="00F958E1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F958E1">
        <w:rPr>
          <w:szCs w:val="22"/>
        </w:rPr>
        <w:t xml:space="preserve">Инвестиционные показатели стратегии управления </w:t>
      </w:r>
      <w:r w:rsidRPr="00F958E1">
        <w:rPr>
          <w:bCs/>
          <w:szCs w:val="22"/>
        </w:rPr>
        <w:t>«</w:t>
      </w:r>
      <w:r w:rsidR="00C4709A" w:rsidRPr="00F958E1">
        <w:rPr>
          <w:szCs w:val="22"/>
        </w:rPr>
        <w:t>Еврооблигации, доходность в долларах США</w:t>
      </w:r>
      <w:r w:rsidRPr="00F958E1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F958E1" w:rsidTr="00C25EC7">
        <w:tc>
          <w:tcPr>
            <w:tcW w:w="4927" w:type="dxa"/>
            <w:shd w:val="clear" w:color="auto" w:fill="auto"/>
          </w:tcPr>
          <w:p w:rsidR="00B4157C" w:rsidRPr="00F958E1" w:rsidRDefault="00B4157C" w:rsidP="00C25EC7">
            <w:pPr>
              <w:pStyle w:val="21"/>
              <w:ind w:right="-45"/>
              <w:rPr>
                <w:szCs w:val="22"/>
              </w:rPr>
            </w:pPr>
            <w:r w:rsidRPr="00F958E1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F958E1" w:rsidRDefault="00B4157C" w:rsidP="00C25EC7">
            <w:pPr>
              <w:pStyle w:val="21"/>
              <w:ind w:right="-45"/>
              <w:rPr>
                <w:szCs w:val="22"/>
              </w:rPr>
            </w:pPr>
            <w:r w:rsidRPr="00F958E1">
              <w:rPr>
                <w:szCs w:val="22"/>
              </w:rPr>
              <w:t>Значение</w:t>
            </w:r>
          </w:p>
        </w:tc>
      </w:tr>
      <w:tr w:rsidR="00B4157C" w:rsidRPr="00F958E1" w:rsidTr="00C25EC7">
        <w:tc>
          <w:tcPr>
            <w:tcW w:w="4927" w:type="dxa"/>
            <w:shd w:val="clear" w:color="auto" w:fill="auto"/>
          </w:tcPr>
          <w:p w:rsidR="00B4157C" w:rsidRPr="00F958E1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F958E1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F958E1" w:rsidRDefault="00E05877" w:rsidP="00E05877">
            <w:pPr>
              <w:pStyle w:val="21"/>
              <w:ind w:right="-45"/>
              <w:rPr>
                <w:szCs w:val="22"/>
              </w:rPr>
            </w:pPr>
            <w:r w:rsidRPr="00F958E1">
              <w:rPr>
                <w:szCs w:val="22"/>
              </w:rPr>
              <w:t>Умеренно-к</w:t>
            </w:r>
            <w:r w:rsidR="006675FC" w:rsidRPr="00F958E1">
              <w:rPr>
                <w:szCs w:val="22"/>
              </w:rPr>
              <w:t>онсервативный</w:t>
            </w:r>
          </w:p>
        </w:tc>
      </w:tr>
      <w:tr w:rsidR="00B4157C" w:rsidRPr="00F958E1" w:rsidTr="00C25EC7">
        <w:tc>
          <w:tcPr>
            <w:tcW w:w="4927" w:type="dxa"/>
            <w:shd w:val="clear" w:color="auto" w:fill="auto"/>
          </w:tcPr>
          <w:p w:rsidR="00B4157C" w:rsidRPr="00F958E1" w:rsidRDefault="00C60C91" w:rsidP="00C25EC7">
            <w:pPr>
              <w:pStyle w:val="21"/>
              <w:ind w:right="-45"/>
              <w:rPr>
                <w:szCs w:val="22"/>
              </w:rPr>
            </w:pPr>
            <w:r w:rsidRPr="00F958E1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F958E1" w:rsidRDefault="00E05877" w:rsidP="00C25EC7">
            <w:pPr>
              <w:pStyle w:val="21"/>
              <w:ind w:right="-45"/>
              <w:rPr>
                <w:szCs w:val="22"/>
              </w:rPr>
            </w:pPr>
            <w:r w:rsidRPr="00F958E1">
              <w:rPr>
                <w:szCs w:val="22"/>
              </w:rPr>
              <w:t xml:space="preserve">2 </w:t>
            </w:r>
            <w:r w:rsidR="005B41B5" w:rsidRPr="00F958E1">
              <w:rPr>
                <w:szCs w:val="22"/>
              </w:rPr>
              <w:t>год</w:t>
            </w:r>
            <w:r w:rsidRPr="00F958E1">
              <w:rPr>
                <w:szCs w:val="22"/>
              </w:rPr>
              <w:t>а</w:t>
            </w:r>
          </w:p>
        </w:tc>
      </w:tr>
    </w:tbl>
    <w:p w:rsidR="00FF1B25" w:rsidRPr="00F958E1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F958E1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F958E1">
        <w:rPr>
          <w:rFonts w:eastAsia="Batang"/>
          <w:szCs w:val="22"/>
        </w:rPr>
        <w:t xml:space="preserve">Управляющий раскрывает </w:t>
      </w:r>
      <w:r w:rsidRPr="00F958E1">
        <w:rPr>
          <w:rFonts w:eastAsia="Batang"/>
          <w:szCs w:val="22"/>
        </w:rPr>
        <w:t xml:space="preserve">иную </w:t>
      </w:r>
      <w:r w:rsidR="00FF1B25" w:rsidRPr="00F958E1">
        <w:rPr>
          <w:rFonts w:eastAsia="Batang"/>
          <w:szCs w:val="22"/>
        </w:rPr>
        <w:t>информацию</w:t>
      </w:r>
      <w:r w:rsidRPr="00F958E1">
        <w:rPr>
          <w:rFonts w:eastAsia="Batang"/>
          <w:szCs w:val="22"/>
        </w:rPr>
        <w:t>,</w:t>
      </w:r>
      <w:r w:rsidR="00FF1B25" w:rsidRPr="00F958E1">
        <w:rPr>
          <w:rFonts w:eastAsia="Batang"/>
          <w:szCs w:val="22"/>
        </w:rPr>
        <w:t xml:space="preserve"> </w:t>
      </w:r>
      <w:r w:rsidRPr="00F958E1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F958E1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szCs w:val="22"/>
        </w:rPr>
        <w:t>У</w:t>
      </w:r>
      <w:r w:rsidR="00581B34" w:rsidRPr="00F958E1">
        <w:rPr>
          <w:szCs w:val="22"/>
        </w:rPr>
        <w:t xml:space="preserve">правляющий в </w:t>
      </w:r>
      <w:r w:rsidR="005D7AC9" w:rsidRPr="00F958E1">
        <w:rPr>
          <w:szCs w:val="22"/>
        </w:rPr>
        <w:t>рамках деятельности по Договору</w:t>
      </w:r>
      <w:r w:rsidR="00581B34" w:rsidRPr="00F958E1">
        <w:rPr>
          <w:szCs w:val="22"/>
        </w:rPr>
        <w:t xml:space="preserve"> вправе заключать с принадле</w:t>
      </w:r>
      <w:r w:rsidR="005D7AC9" w:rsidRPr="00F958E1">
        <w:rPr>
          <w:szCs w:val="22"/>
        </w:rPr>
        <w:softHyphen/>
      </w:r>
      <w:r w:rsidR="00581B34" w:rsidRPr="00F958E1">
        <w:rPr>
          <w:szCs w:val="22"/>
        </w:rPr>
        <w:t>жа</w:t>
      </w:r>
      <w:r w:rsidR="005D7AC9" w:rsidRPr="00F958E1">
        <w:rPr>
          <w:szCs w:val="22"/>
        </w:rPr>
        <w:softHyphen/>
      </w:r>
      <w:r w:rsidR="00581B34" w:rsidRPr="00F958E1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F958E1">
        <w:rPr>
          <w:szCs w:val="22"/>
        </w:rPr>
        <w:t>но</w:t>
      </w:r>
      <w:proofErr w:type="gramEnd"/>
      <w:r w:rsidR="00581B34" w:rsidRPr="00F958E1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F958E1">
        <w:rPr>
          <w:szCs w:val="22"/>
        </w:rPr>
        <w:t>У</w:t>
      </w:r>
      <w:r w:rsidR="00581B34" w:rsidRPr="00F958E1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F958E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F958E1">
        <w:rPr>
          <w:rFonts w:cs="Arial"/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F958E1">
        <w:rPr>
          <w:rFonts w:cs="Arial"/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F958E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F958E1">
        <w:rPr>
          <w:rFonts w:cs="Arial"/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F958E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rFonts w:cs="Arial"/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F958E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rFonts w:cs="Arial"/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F958E1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rFonts w:cs="Arial"/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F958E1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F958E1">
        <w:rPr>
          <w:rFonts w:cs="Arial"/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F958E1">
        <w:rPr>
          <w:rFonts w:cs="Arial"/>
          <w:color w:val="000000"/>
          <w:szCs w:val="22"/>
        </w:rPr>
        <w:t>У</w:t>
      </w:r>
      <w:r w:rsidRPr="00F958E1">
        <w:rPr>
          <w:rFonts w:cs="Arial"/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F958E1">
        <w:rPr>
          <w:rFonts w:cs="Arial"/>
          <w:color w:val="000000"/>
          <w:szCs w:val="22"/>
        </w:rPr>
        <w:t>У</w:t>
      </w:r>
      <w:r w:rsidRPr="00F958E1">
        <w:rPr>
          <w:rFonts w:cs="Arial"/>
          <w:color w:val="000000"/>
          <w:szCs w:val="22"/>
        </w:rPr>
        <w:t>правляющ</w:t>
      </w:r>
      <w:r w:rsidR="00FF1B25" w:rsidRPr="00F958E1">
        <w:rPr>
          <w:rFonts w:cs="Arial"/>
          <w:color w:val="000000"/>
          <w:szCs w:val="22"/>
        </w:rPr>
        <w:t>его</w:t>
      </w:r>
      <w:r w:rsidR="004D2CEE" w:rsidRPr="00F958E1">
        <w:rPr>
          <w:rFonts w:cs="Arial"/>
          <w:color w:val="000000"/>
          <w:szCs w:val="22"/>
        </w:rPr>
        <w:t xml:space="preserve"> и доведены до сведения клиентов</w:t>
      </w:r>
      <w:r w:rsidRPr="00F958E1">
        <w:rPr>
          <w:rFonts w:cs="Arial"/>
          <w:color w:val="000000"/>
          <w:szCs w:val="22"/>
        </w:rPr>
        <w:t>.</w:t>
      </w:r>
    </w:p>
    <w:p w:rsidR="00333395" w:rsidRPr="00F958E1" w:rsidRDefault="00333395" w:rsidP="0033339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7D7DDA" w:rsidRPr="00F958E1" w:rsidRDefault="007D7DDA" w:rsidP="007D7DDA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Cs w:val="22"/>
        </w:rPr>
      </w:pPr>
      <w:r w:rsidRPr="00F958E1">
        <w:rPr>
          <w:rFonts w:cs="Arial"/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F958E1">
        <w:rPr>
          <w:rFonts w:cs="Arial"/>
          <w:color w:val="000000"/>
          <w:szCs w:val="22"/>
        </w:rPr>
        <w:t>РДУ</w:t>
      </w:r>
      <w:r w:rsidR="00C70EFC" w:rsidRPr="00F958E1">
        <w:rPr>
          <w:rFonts w:cs="Arial"/>
          <w:color w:val="000000"/>
          <w:szCs w:val="22"/>
        </w:rPr>
        <w:t>–</w:t>
      </w:r>
      <w:r w:rsidRPr="00F958E1">
        <w:rPr>
          <w:rFonts w:cs="Arial"/>
          <w:color w:val="000000"/>
          <w:szCs w:val="22"/>
        </w:rPr>
        <w:t xml:space="preserve">13) </w:t>
      </w:r>
      <w:proofErr w:type="gramEnd"/>
      <w:r w:rsidRPr="00F958E1">
        <w:rPr>
          <w:rFonts w:cs="Arial"/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923DEB" w:rsidRPr="00F958E1">
        <w:rPr>
          <w:rFonts w:cs="Arial"/>
          <w:color w:val="000000"/>
          <w:szCs w:val="22"/>
        </w:rPr>
        <w:t>.</w:t>
      </w:r>
    </w:p>
    <w:p w:rsidR="007D7DDA" w:rsidRPr="00F958E1" w:rsidRDefault="007D7DDA" w:rsidP="007D7DDA">
      <w:pPr>
        <w:shd w:val="clear" w:color="auto" w:fill="FFFFFF"/>
        <w:ind w:right="23"/>
        <w:jc w:val="both"/>
        <w:rPr>
          <w:sz w:val="22"/>
          <w:szCs w:val="22"/>
        </w:rPr>
      </w:pPr>
      <w:r w:rsidRPr="00F958E1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E60DBE" w:rsidRDefault="007D7DDA" w:rsidP="007D7DDA">
      <w:pPr>
        <w:shd w:val="clear" w:color="auto" w:fill="FFFFFF"/>
        <w:ind w:right="23"/>
        <w:jc w:val="both"/>
        <w:rPr>
          <w:sz w:val="22"/>
          <w:szCs w:val="22"/>
        </w:rPr>
      </w:pPr>
      <w:r w:rsidRPr="00F958E1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E60D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9E" w:rsidRDefault="00F5399E" w:rsidP="00377450">
      <w:r>
        <w:separator/>
      </w:r>
    </w:p>
  </w:endnote>
  <w:endnote w:type="continuationSeparator" w:id="0">
    <w:p w:rsidR="00F5399E" w:rsidRDefault="00F5399E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58E1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F958E1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3931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F958E1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3932" r:id="rId2"/>
      </w:pict>
    </w:r>
  </w:p>
  <w:p w:rsidR="002C7977" w:rsidRDefault="00F958E1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933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9E" w:rsidRDefault="00F5399E" w:rsidP="00377450">
      <w:r>
        <w:separator/>
      </w:r>
    </w:p>
  </w:footnote>
  <w:footnote w:type="continuationSeparator" w:id="0">
    <w:p w:rsidR="00F5399E" w:rsidRDefault="00F5399E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395"/>
    <w:rsid w:val="00333D2C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2CEE"/>
    <w:rsid w:val="004D7969"/>
    <w:rsid w:val="004E52DE"/>
    <w:rsid w:val="0051361B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7D7DDA"/>
    <w:rsid w:val="008322BB"/>
    <w:rsid w:val="00861DD5"/>
    <w:rsid w:val="00884F82"/>
    <w:rsid w:val="008A1854"/>
    <w:rsid w:val="008B2027"/>
    <w:rsid w:val="008B443B"/>
    <w:rsid w:val="008F7997"/>
    <w:rsid w:val="009124A7"/>
    <w:rsid w:val="00914891"/>
    <w:rsid w:val="00920F92"/>
    <w:rsid w:val="00923DEB"/>
    <w:rsid w:val="0096247A"/>
    <w:rsid w:val="00964717"/>
    <w:rsid w:val="00973F1E"/>
    <w:rsid w:val="00977A80"/>
    <w:rsid w:val="009920C1"/>
    <w:rsid w:val="009D1DD4"/>
    <w:rsid w:val="009D31C4"/>
    <w:rsid w:val="009E590A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811EF"/>
    <w:rsid w:val="00BA117D"/>
    <w:rsid w:val="00BC3CA1"/>
    <w:rsid w:val="00BD049E"/>
    <w:rsid w:val="00BD707C"/>
    <w:rsid w:val="00BF78BC"/>
    <w:rsid w:val="00C11B1F"/>
    <w:rsid w:val="00C25EC7"/>
    <w:rsid w:val="00C42D69"/>
    <w:rsid w:val="00C4709A"/>
    <w:rsid w:val="00C47564"/>
    <w:rsid w:val="00C52823"/>
    <w:rsid w:val="00C56EF1"/>
    <w:rsid w:val="00C60C91"/>
    <w:rsid w:val="00C64791"/>
    <w:rsid w:val="00C70EFC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97122"/>
    <w:rsid w:val="00DB06AA"/>
    <w:rsid w:val="00DC02E6"/>
    <w:rsid w:val="00DC40A6"/>
    <w:rsid w:val="00DE5148"/>
    <w:rsid w:val="00DF0630"/>
    <w:rsid w:val="00E049C7"/>
    <w:rsid w:val="00E05877"/>
    <w:rsid w:val="00E25E9C"/>
    <w:rsid w:val="00E30066"/>
    <w:rsid w:val="00E36990"/>
    <w:rsid w:val="00E60DBE"/>
    <w:rsid w:val="00E65A83"/>
    <w:rsid w:val="00E7009D"/>
    <w:rsid w:val="00E72468"/>
    <w:rsid w:val="00E72B5B"/>
    <w:rsid w:val="00E845FA"/>
    <w:rsid w:val="00E870DF"/>
    <w:rsid w:val="00E9149A"/>
    <w:rsid w:val="00E96E5D"/>
    <w:rsid w:val="00EA6B91"/>
    <w:rsid w:val="00EA70F8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399E"/>
    <w:rsid w:val="00F57519"/>
    <w:rsid w:val="00F70E1F"/>
    <w:rsid w:val="00F80A1D"/>
    <w:rsid w:val="00F958E1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DD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D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6068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9</cp:revision>
  <cp:lastPrinted>2007-11-29T09:09:00Z</cp:lastPrinted>
  <dcterms:created xsi:type="dcterms:W3CDTF">2018-10-16T07:24:00Z</dcterms:created>
  <dcterms:modified xsi:type="dcterms:W3CDTF">2019-03-15T11:04:00Z</dcterms:modified>
</cp:coreProperties>
</file>