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581B34" w:rsidRDefault="006823E4" w:rsidP="008B2193">
      <w:pPr>
        <w:rPr>
          <w:b/>
          <w:sz w:val="24"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FD0FCE">
        <w:trPr>
          <w:trHeight w:val="267"/>
        </w:trPr>
        <w:tc>
          <w:tcPr>
            <w:tcW w:w="5688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6823E4" w:rsidRPr="00FD0FCE" w:rsidRDefault="006823E4" w:rsidP="008B2193">
            <w:pPr>
              <w:pStyle w:val="10"/>
              <w:ind w:left="1440"/>
              <w:rPr>
                <w:szCs w:val="24"/>
                <w:lang w:val="ru-RU"/>
              </w:rPr>
            </w:pPr>
            <w:r w:rsidRPr="00FD0FCE">
              <w:rPr>
                <w:szCs w:val="24"/>
                <w:lang w:val="ru-RU"/>
              </w:rPr>
              <w:t xml:space="preserve">Приложение № </w:t>
            </w:r>
            <w:r w:rsidR="008322BB" w:rsidRPr="00FD0FCE">
              <w:rPr>
                <w:szCs w:val="24"/>
                <w:lang w:val="ru-RU"/>
              </w:rPr>
              <w:t>Р</w:t>
            </w:r>
            <w:r w:rsidRPr="00FD0FCE">
              <w:rPr>
                <w:szCs w:val="24"/>
                <w:lang w:val="ru-RU"/>
              </w:rPr>
              <w:t>ДУ</w:t>
            </w:r>
            <w:r w:rsidR="00E0604E" w:rsidRPr="00FD0FCE">
              <w:rPr>
                <w:szCs w:val="24"/>
                <w:lang w:val="ru-RU"/>
              </w:rPr>
              <w:t>–</w:t>
            </w:r>
            <w:r w:rsidR="008322BB" w:rsidRPr="00FD0FCE">
              <w:rPr>
                <w:szCs w:val="24"/>
                <w:lang w:val="ru-RU"/>
              </w:rPr>
              <w:t>3</w:t>
            </w:r>
            <w:r w:rsidR="00E0604E" w:rsidRPr="00FD0FCE">
              <w:rPr>
                <w:szCs w:val="24"/>
                <w:lang w:val="ru-RU"/>
              </w:rPr>
              <w:t>–</w:t>
            </w:r>
            <w:r w:rsidR="00232807" w:rsidRPr="00FD0FCE">
              <w:rPr>
                <w:szCs w:val="24"/>
                <w:lang w:val="ru-RU"/>
              </w:rPr>
              <w:t>2</w:t>
            </w:r>
          </w:p>
        </w:tc>
      </w:tr>
    </w:tbl>
    <w:p w:rsidR="00581B34" w:rsidRPr="00FD0FCE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FD0FCE">
        <w:rPr>
          <w:b/>
          <w:sz w:val="24"/>
          <w:szCs w:val="24"/>
        </w:rPr>
        <w:t>ИНВЕСТИЦИОННАЯ ДЕКЛАРАЦИЯ</w:t>
      </w:r>
    </w:p>
    <w:p w:rsidR="00451536" w:rsidRPr="00FD0FCE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FD0FCE">
        <w:rPr>
          <w:b/>
          <w:sz w:val="24"/>
          <w:szCs w:val="24"/>
        </w:rPr>
        <w:t xml:space="preserve">Стратегия </w:t>
      </w:r>
      <w:r w:rsidR="00B4157C" w:rsidRPr="00FD0FCE">
        <w:rPr>
          <w:b/>
          <w:sz w:val="24"/>
          <w:szCs w:val="24"/>
        </w:rPr>
        <w:t xml:space="preserve">управления </w:t>
      </w:r>
      <w:r w:rsidRPr="00FD0FCE">
        <w:rPr>
          <w:b/>
          <w:sz w:val="24"/>
          <w:szCs w:val="24"/>
        </w:rPr>
        <w:t>«</w:t>
      </w:r>
      <w:r w:rsidR="00576B29" w:rsidRPr="00FD0FCE">
        <w:rPr>
          <w:b/>
          <w:sz w:val="24"/>
          <w:szCs w:val="24"/>
        </w:rPr>
        <w:t xml:space="preserve">Российские акции </w:t>
      </w:r>
      <w:r w:rsidR="00232807" w:rsidRPr="00FD0FCE">
        <w:rPr>
          <w:b/>
          <w:sz w:val="24"/>
          <w:szCs w:val="24"/>
        </w:rPr>
        <w:t>2</w:t>
      </w:r>
      <w:r w:rsidRPr="00FD0FCE">
        <w:rPr>
          <w:b/>
          <w:sz w:val="24"/>
          <w:szCs w:val="24"/>
        </w:rPr>
        <w:t>»</w:t>
      </w:r>
    </w:p>
    <w:p w:rsidR="00581B34" w:rsidRPr="00FD0FCE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FD0FCE">
        <w:rPr>
          <w:sz w:val="24"/>
          <w:szCs w:val="24"/>
        </w:rPr>
        <w:t>Настоящая Инвестиционная Декларация</w:t>
      </w:r>
      <w:r w:rsidRPr="00FD0FCE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FD0FCE">
        <w:rPr>
          <w:color w:val="000000"/>
          <w:sz w:val="24"/>
          <w:szCs w:val="24"/>
        </w:rPr>
        <w:t>каждого Д</w:t>
      </w:r>
      <w:r w:rsidRPr="00FD0FCE">
        <w:rPr>
          <w:color w:val="000000"/>
          <w:sz w:val="24"/>
          <w:szCs w:val="24"/>
        </w:rPr>
        <w:t xml:space="preserve">оговора </w:t>
      </w:r>
      <w:r w:rsidRPr="00FD0FCE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FD0FCE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FD0FCE">
        <w:rPr>
          <w:bCs/>
          <w:sz w:val="24"/>
          <w:szCs w:val="24"/>
        </w:rPr>
        <w:t>стратегия управления «</w:t>
      </w:r>
      <w:r w:rsidR="00576B29" w:rsidRPr="00FD0FCE">
        <w:rPr>
          <w:bCs/>
          <w:sz w:val="24"/>
          <w:szCs w:val="24"/>
        </w:rPr>
        <w:t xml:space="preserve">Российские акции </w:t>
      </w:r>
      <w:r w:rsidR="00232807" w:rsidRPr="00FD0FCE">
        <w:rPr>
          <w:bCs/>
          <w:sz w:val="24"/>
          <w:szCs w:val="24"/>
        </w:rPr>
        <w:t>2</w:t>
      </w:r>
      <w:r w:rsidR="00B4157C" w:rsidRPr="00FD0FCE">
        <w:rPr>
          <w:bCs/>
          <w:sz w:val="24"/>
          <w:szCs w:val="24"/>
        </w:rPr>
        <w:t>»</w:t>
      </w:r>
      <w:r w:rsidR="00B4157C" w:rsidRPr="00FD0FCE">
        <w:rPr>
          <w:b/>
          <w:bCs/>
          <w:sz w:val="24"/>
          <w:szCs w:val="24"/>
        </w:rPr>
        <w:t xml:space="preserve"> </w:t>
      </w:r>
      <w:r w:rsidR="00B4157C" w:rsidRPr="00FD0FCE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E0604E" w:rsidRPr="00FD0FCE">
        <w:rPr>
          <w:snapToGrid w:val="0"/>
          <w:color w:val="000000"/>
          <w:sz w:val="24"/>
          <w:szCs w:val="24"/>
        </w:rPr>
        <w:t>–</w:t>
      </w:r>
      <w:r w:rsidR="00B4157C" w:rsidRPr="00FD0FCE">
        <w:rPr>
          <w:snapToGrid w:val="0"/>
          <w:color w:val="000000"/>
          <w:sz w:val="24"/>
          <w:szCs w:val="24"/>
        </w:rPr>
        <w:t>3 к Регламенту).</w:t>
      </w:r>
      <w:r w:rsidRPr="00FD0FCE">
        <w:rPr>
          <w:sz w:val="24"/>
          <w:szCs w:val="24"/>
        </w:rPr>
        <w:t xml:space="preserve"> </w:t>
      </w:r>
    </w:p>
    <w:p w:rsidR="005D7AC9" w:rsidRPr="00FD0FCE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FD0FCE" w:rsidRDefault="00581B34" w:rsidP="00581B34">
      <w:pPr>
        <w:pStyle w:val="21"/>
        <w:ind w:firstLine="624"/>
        <w:rPr>
          <w:sz w:val="24"/>
          <w:szCs w:val="24"/>
        </w:rPr>
      </w:pPr>
      <w:r w:rsidRPr="00FD0FCE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FD0FCE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FD0FCE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FD0FCE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FD0FCE">
        <w:rPr>
          <w:sz w:val="24"/>
          <w:szCs w:val="24"/>
        </w:rPr>
        <w:t>доверительного управления (далее</w:t>
      </w:r>
      <w:r w:rsidR="00FA7996" w:rsidRPr="00FD0FCE">
        <w:rPr>
          <w:sz w:val="24"/>
          <w:szCs w:val="24"/>
        </w:rPr>
        <w:t xml:space="preserve"> </w:t>
      </w:r>
      <w:r w:rsidR="00E0604E" w:rsidRPr="00FD0FCE">
        <w:rPr>
          <w:sz w:val="24"/>
          <w:szCs w:val="24"/>
        </w:rPr>
        <w:t>–</w:t>
      </w:r>
      <w:r w:rsidR="00B4157C" w:rsidRPr="00FD0FCE">
        <w:rPr>
          <w:sz w:val="24"/>
          <w:szCs w:val="24"/>
        </w:rPr>
        <w:t xml:space="preserve"> Договор) </w:t>
      </w:r>
      <w:r w:rsidRPr="00FD0FCE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FD0FCE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FD0FCE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FD0FCE">
        <w:rPr>
          <w:sz w:val="24"/>
          <w:szCs w:val="24"/>
        </w:rPr>
        <w:t xml:space="preserve">управления </w:t>
      </w:r>
      <w:r w:rsidR="001B7F15" w:rsidRPr="00FD0FCE">
        <w:rPr>
          <w:sz w:val="24"/>
          <w:szCs w:val="24"/>
        </w:rPr>
        <w:t>«</w:t>
      </w:r>
      <w:r w:rsidR="00576B29" w:rsidRPr="00FD0FCE">
        <w:rPr>
          <w:bCs/>
          <w:sz w:val="24"/>
          <w:szCs w:val="24"/>
        </w:rPr>
        <w:t xml:space="preserve">Российские акции </w:t>
      </w:r>
      <w:r w:rsidR="00232807" w:rsidRPr="00FD0FCE">
        <w:rPr>
          <w:bCs/>
          <w:sz w:val="24"/>
          <w:szCs w:val="24"/>
        </w:rPr>
        <w:t>2</w:t>
      </w:r>
      <w:r w:rsidR="001B7F15" w:rsidRPr="00FD0FCE">
        <w:rPr>
          <w:sz w:val="24"/>
          <w:szCs w:val="24"/>
        </w:rPr>
        <w:t>»</w:t>
      </w:r>
      <w:r w:rsidR="005D7AC9" w:rsidRPr="00FD0FCE">
        <w:rPr>
          <w:bCs/>
          <w:sz w:val="24"/>
          <w:szCs w:val="24"/>
        </w:rPr>
        <w:t>.</w:t>
      </w:r>
      <w:r w:rsidR="00E870DF" w:rsidRPr="00FD0FCE">
        <w:rPr>
          <w:b/>
          <w:bCs/>
          <w:sz w:val="24"/>
          <w:szCs w:val="24"/>
        </w:rPr>
        <w:t xml:space="preserve"> </w:t>
      </w:r>
      <w:r w:rsidR="001F34E1" w:rsidRPr="00FD0FCE">
        <w:rPr>
          <w:bCs/>
          <w:sz w:val="24"/>
          <w:szCs w:val="24"/>
        </w:rPr>
        <w:t xml:space="preserve">Стратегия </w:t>
      </w:r>
      <w:r w:rsidR="00B4157C" w:rsidRPr="00FD0FCE">
        <w:rPr>
          <w:bCs/>
          <w:sz w:val="24"/>
          <w:szCs w:val="24"/>
        </w:rPr>
        <w:t xml:space="preserve">управления </w:t>
      </w:r>
      <w:r w:rsidR="001F34E1" w:rsidRPr="00FD0FCE">
        <w:rPr>
          <w:bCs/>
          <w:sz w:val="24"/>
          <w:szCs w:val="24"/>
        </w:rPr>
        <w:t>«</w:t>
      </w:r>
      <w:r w:rsidR="00576B29" w:rsidRPr="00FD0FCE">
        <w:rPr>
          <w:bCs/>
          <w:sz w:val="24"/>
          <w:szCs w:val="24"/>
        </w:rPr>
        <w:t xml:space="preserve">Российские акции </w:t>
      </w:r>
      <w:r w:rsidR="00232807" w:rsidRPr="00FD0FCE">
        <w:rPr>
          <w:bCs/>
          <w:sz w:val="24"/>
          <w:szCs w:val="24"/>
        </w:rPr>
        <w:t>2</w:t>
      </w:r>
      <w:r w:rsidR="001F34E1" w:rsidRPr="00FD0FCE">
        <w:rPr>
          <w:bCs/>
          <w:sz w:val="24"/>
          <w:szCs w:val="24"/>
        </w:rPr>
        <w:t>»</w:t>
      </w:r>
      <w:r w:rsidR="001F34E1" w:rsidRPr="00FD0FCE">
        <w:rPr>
          <w:b/>
          <w:bCs/>
          <w:sz w:val="24"/>
          <w:szCs w:val="24"/>
        </w:rPr>
        <w:t xml:space="preserve"> </w:t>
      </w:r>
      <w:r w:rsidR="001F34E1" w:rsidRPr="00FD0FCE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FD0FCE">
        <w:rPr>
          <w:bCs/>
          <w:sz w:val="24"/>
          <w:szCs w:val="24"/>
        </w:rPr>
        <w:t>Настоящей</w:t>
      </w:r>
      <w:r w:rsidR="005D7AC9" w:rsidRPr="00FD0FCE">
        <w:rPr>
          <w:bCs/>
          <w:sz w:val="24"/>
          <w:szCs w:val="24"/>
        </w:rPr>
        <w:t xml:space="preserve"> </w:t>
      </w:r>
      <w:r w:rsidR="00E870DF" w:rsidRPr="00FD0FCE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FD0FCE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FD0FCE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FD0FCE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FD0FCE">
        <w:rPr>
          <w:sz w:val="24"/>
          <w:szCs w:val="24"/>
        </w:rPr>
        <w:t>У</w:t>
      </w:r>
      <w:r w:rsidRPr="00FD0FCE">
        <w:rPr>
          <w:sz w:val="24"/>
          <w:szCs w:val="24"/>
        </w:rPr>
        <w:t>правляющий в течение всего срока действия Договора:</w:t>
      </w:r>
    </w:p>
    <w:p w:rsidR="00B4157C" w:rsidRPr="00FD0FCE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FD0FCE" w:rsidTr="00E30066">
        <w:tc>
          <w:tcPr>
            <w:tcW w:w="5628" w:type="dxa"/>
            <w:shd w:val="clear" w:color="auto" w:fill="auto"/>
          </w:tcPr>
          <w:p w:rsidR="00581B34" w:rsidRPr="00FD0FCE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FD0FCE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FD0FCE" w:rsidTr="00E30066">
        <w:tc>
          <w:tcPr>
            <w:tcW w:w="5628" w:type="dxa"/>
            <w:shd w:val="clear" w:color="auto" w:fill="auto"/>
          </w:tcPr>
          <w:p w:rsidR="0000727E" w:rsidRPr="00FD0FCE" w:rsidRDefault="0000727E" w:rsidP="00084D92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FD0FCE" w:rsidRDefault="0000727E" w:rsidP="00E30066">
            <w:pPr>
              <w:ind w:left="1277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до 100%</w:t>
            </w:r>
          </w:p>
        </w:tc>
      </w:tr>
      <w:tr w:rsidR="005D5CAF" w:rsidRPr="00FD0FCE" w:rsidTr="00E30066">
        <w:tc>
          <w:tcPr>
            <w:tcW w:w="5628" w:type="dxa"/>
            <w:shd w:val="clear" w:color="auto" w:fill="auto"/>
          </w:tcPr>
          <w:p w:rsidR="005D5CAF" w:rsidRPr="00FD0FCE" w:rsidRDefault="00BF78BC" w:rsidP="00084D92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Облигации</w:t>
            </w:r>
            <w:r w:rsidR="005D5CAF" w:rsidRPr="00FD0FCE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FD0FCE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FD0FCE" w:rsidRDefault="005D5CAF" w:rsidP="00E30066">
            <w:pPr>
              <w:ind w:left="1277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до 100%</w:t>
            </w:r>
          </w:p>
        </w:tc>
      </w:tr>
      <w:tr w:rsidR="005D5CAF" w:rsidRPr="00FD0FCE" w:rsidTr="00E30066">
        <w:tc>
          <w:tcPr>
            <w:tcW w:w="5628" w:type="dxa"/>
            <w:shd w:val="clear" w:color="auto" w:fill="auto"/>
          </w:tcPr>
          <w:p w:rsidR="005D5CAF" w:rsidRPr="00FD0FCE" w:rsidRDefault="0000727E" w:rsidP="00084D92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FD0FCE" w:rsidRDefault="005D5CAF" w:rsidP="00E30066">
            <w:pPr>
              <w:ind w:left="1277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до 100%</w:t>
            </w:r>
          </w:p>
        </w:tc>
      </w:tr>
      <w:tr w:rsidR="0000727E" w:rsidRPr="00FD0FCE" w:rsidTr="00E30066">
        <w:tc>
          <w:tcPr>
            <w:tcW w:w="5628" w:type="dxa"/>
            <w:shd w:val="clear" w:color="auto" w:fill="auto"/>
          </w:tcPr>
          <w:p w:rsidR="0000727E" w:rsidRPr="00FD0FCE" w:rsidRDefault="0000727E" w:rsidP="00084D92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  <w:shd w:val="clear" w:color="auto" w:fill="FFFF00"/>
              </w:rPr>
              <w:t>С</w:t>
            </w:r>
            <w:r w:rsidRPr="00FD0FCE">
              <w:rPr>
                <w:sz w:val="24"/>
                <w:szCs w:val="24"/>
              </w:rPr>
              <w:t>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FD0FCE" w:rsidRDefault="0000727E" w:rsidP="0000727E">
            <w:pPr>
              <w:ind w:left="1277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до 50%</w:t>
            </w:r>
          </w:p>
        </w:tc>
      </w:tr>
    </w:tbl>
    <w:p w:rsidR="00DC02E6" w:rsidRPr="00FD0FCE" w:rsidRDefault="00DC02E6" w:rsidP="00DC02E6">
      <w:pPr>
        <w:pStyle w:val="ConsPlusNormal"/>
        <w:ind w:firstLine="0"/>
        <w:jc w:val="both"/>
      </w:pPr>
    </w:p>
    <w:p w:rsidR="0000727E" w:rsidRPr="00FD0FCE" w:rsidRDefault="0000727E" w:rsidP="00DC02E6">
      <w:pPr>
        <w:jc w:val="both"/>
      </w:pPr>
    </w:p>
    <w:p w:rsidR="00DC02E6" w:rsidRPr="00FD0FCE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FD0FCE">
        <w:rPr>
          <w:sz w:val="24"/>
          <w:szCs w:val="24"/>
        </w:rPr>
        <w:t xml:space="preserve">Инвестиционные показатели стратегии управления </w:t>
      </w:r>
      <w:r w:rsidRPr="00FD0FCE">
        <w:rPr>
          <w:bCs/>
          <w:sz w:val="24"/>
          <w:szCs w:val="24"/>
        </w:rPr>
        <w:t>«</w:t>
      </w:r>
      <w:r w:rsidR="0000727E" w:rsidRPr="00FD0FCE">
        <w:rPr>
          <w:bCs/>
          <w:sz w:val="24"/>
          <w:szCs w:val="24"/>
        </w:rPr>
        <w:t xml:space="preserve">Российские акции </w:t>
      </w:r>
      <w:r w:rsidR="00232807" w:rsidRPr="00FD0FCE">
        <w:rPr>
          <w:bCs/>
          <w:sz w:val="24"/>
          <w:szCs w:val="24"/>
        </w:rPr>
        <w:t>2</w:t>
      </w:r>
      <w:r w:rsidRPr="00FD0FCE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FD0FCE" w:rsidTr="00C25EC7">
        <w:tc>
          <w:tcPr>
            <w:tcW w:w="4927" w:type="dxa"/>
            <w:shd w:val="clear" w:color="auto" w:fill="auto"/>
          </w:tcPr>
          <w:p w:rsidR="00B4157C" w:rsidRPr="00FD0FCE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FD0FCE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Значение</w:t>
            </w:r>
          </w:p>
        </w:tc>
      </w:tr>
      <w:tr w:rsidR="00B4157C" w:rsidRPr="00FD0FCE" w:rsidTr="00C25EC7">
        <w:tc>
          <w:tcPr>
            <w:tcW w:w="4927" w:type="dxa"/>
            <w:shd w:val="clear" w:color="auto" w:fill="auto"/>
          </w:tcPr>
          <w:p w:rsidR="00B4157C" w:rsidRPr="00FD0FCE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 xml:space="preserve">Стандартный инвестиционный профиль </w:t>
            </w:r>
            <w:r w:rsidRPr="00FD0FCE">
              <w:rPr>
                <w:sz w:val="24"/>
                <w:szCs w:val="24"/>
              </w:rPr>
              <w:lastRenderedPageBreak/>
              <w:t>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FD0FCE" w:rsidRDefault="0000727E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lastRenderedPageBreak/>
              <w:t>Агрессивный</w:t>
            </w:r>
          </w:p>
        </w:tc>
      </w:tr>
      <w:tr w:rsidR="00B4157C" w:rsidRPr="00FD0FCE" w:rsidTr="00C25EC7">
        <w:tc>
          <w:tcPr>
            <w:tcW w:w="4927" w:type="dxa"/>
            <w:shd w:val="clear" w:color="auto" w:fill="auto"/>
          </w:tcPr>
          <w:p w:rsidR="00B4157C" w:rsidRPr="00FD0FCE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lastRenderedPageBreak/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FD0FCE" w:rsidRDefault="0070094B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FD0FCE">
              <w:rPr>
                <w:sz w:val="24"/>
                <w:szCs w:val="24"/>
              </w:rPr>
              <w:t>5 лет</w:t>
            </w:r>
          </w:p>
        </w:tc>
      </w:tr>
    </w:tbl>
    <w:p w:rsidR="00FF1B25" w:rsidRPr="00FD0FCE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FD0FCE">
        <w:rPr>
          <w:rFonts w:eastAsia="Batang"/>
          <w:sz w:val="24"/>
          <w:szCs w:val="24"/>
        </w:rPr>
        <w:t xml:space="preserve">Если иное не определено настоящей Инвестиционной декларацией, </w:t>
      </w:r>
      <w:r w:rsidR="00FF1B25" w:rsidRPr="00FD0FCE">
        <w:rPr>
          <w:rFonts w:eastAsia="Batang"/>
          <w:sz w:val="24"/>
          <w:szCs w:val="24"/>
        </w:rPr>
        <w:t xml:space="preserve">Управляющий раскрывает </w:t>
      </w:r>
      <w:r w:rsidRPr="00FD0FCE">
        <w:rPr>
          <w:rFonts w:eastAsia="Batang"/>
          <w:sz w:val="24"/>
          <w:szCs w:val="24"/>
        </w:rPr>
        <w:t xml:space="preserve">иную </w:t>
      </w:r>
      <w:r w:rsidR="00FF1B25" w:rsidRPr="00FD0FCE">
        <w:rPr>
          <w:rFonts w:eastAsia="Batang"/>
          <w:sz w:val="24"/>
          <w:szCs w:val="24"/>
        </w:rPr>
        <w:t>информацию</w:t>
      </w:r>
      <w:r w:rsidRPr="00FD0FCE">
        <w:rPr>
          <w:rFonts w:eastAsia="Batang"/>
          <w:sz w:val="24"/>
          <w:szCs w:val="24"/>
        </w:rPr>
        <w:t>,</w:t>
      </w:r>
      <w:r w:rsidR="00FF1B25" w:rsidRPr="00FD0FCE">
        <w:rPr>
          <w:rFonts w:eastAsia="Batang"/>
          <w:sz w:val="24"/>
          <w:szCs w:val="24"/>
        </w:rPr>
        <w:t xml:space="preserve"> </w:t>
      </w:r>
      <w:r w:rsidRPr="00FD0FCE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FD0FCE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FD0FCE">
        <w:rPr>
          <w:sz w:val="24"/>
          <w:szCs w:val="24"/>
        </w:rPr>
        <w:t>У</w:t>
      </w:r>
      <w:r w:rsidR="00581B34" w:rsidRPr="00FD0FCE">
        <w:rPr>
          <w:sz w:val="24"/>
          <w:szCs w:val="24"/>
        </w:rPr>
        <w:t xml:space="preserve">правляющий в </w:t>
      </w:r>
      <w:r w:rsidR="005D7AC9" w:rsidRPr="00FD0FCE">
        <w:rPr>
          <w:sz w:val="24"/>
          <w:szCs w:val="24"/>
        </w:rPr>
        <w:t>рамках деятельности по Договору</w:t>
      </w:r>
      <w:r w:rsidR="00581B34" w:rsidRPr="00FD0FCE">
        <w:rPr>
          <w:sz w:val="24"/>
          <w:szCs w:val="24"/>
        </w:rPr>
        <w:t xml:space="preserve"> вправе заключать с принадле</w:t>
      </w:r>
      <w:r w:rsidR="005D7AC9" w:rsidRPr="00FD0FCE">
        <w:rPr>
          <w:sz w:val="24"/>
          <w:szCs w:val="24"/>
        </w:rPr>
        <w:softHyphen/>
      </w:r>
      <w:r w:rsidR="00581B34" w:rsidRPr="00FD0FCE">
        <w:rPr>
          <w:sz w:val="24"/>
          <w:szCs w:val="24"/>
        </w:rPr>
        <w:t>жа</w:t>
      </w:r>
      <w:r w:rsidR="005D7AC9" w:rsidRPr="00FD0FCE">
        <w:rPr>
          <w:sz w:val="24"/>
          <w:szCs w:val="24"/>
        </w:rPr>
        <w:softHyphen/>
      </w:r>
      <w:r w:rsidR="00581B34" w:rsidRPr="00FD0FCE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FD0FCE">
        <w:rPr>
          <w:sz w:val="24"/>
          <w:szCs w:val="24"/>
        </w:rPr>
        <w:t>но</w:t>
      </w:r>
      <w:proofErr w:type="gramEnd"/>
      <w:r w:rsidR="00581B34" w:rsidRPr="00FD0FCE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FD0FCE">
        <w:rPr>
          <w:sz w:val="24"/>
          <w:szCs w:val="24"/>
        </w:rPr>
        <w:t>У</w:t>
      </w:r>
      <w:r w:rsidR="00581B34" w:rsidRPr="00FD0FCE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FD0FCE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FD0FCE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FD0FCE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FD0FCE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FD0FCE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FD0FCE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FD0FCE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FD0FCE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FD0FCE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FD0FCE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FD0FCE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FD0FCE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FD0FCE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FD0FCE">
        <w:rPr>
          <w:rFonts w:cs="Arial"/>
          <w:color w:val="000000"/>
          <w:sz w:val="24"/>
          <w:szCs w:val="24"/>
        </w:rPr>
        <w:t>У</w:t>
      </w:r>
      <w:r w:rsidRPr="00FD0FCE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FD0FCE">
        <w:rPr>
          <w:rFonts w:cs="Arial"/>
          <w:color w:val="000000"/>
          <w:sz w:val="24"/>
          <w:szCs w:val="24"/>
        </w:rPr>
        <w:t>У</w:t>
      </w:r>
      <w:r w:rsidRPr="00FD0FCE">
        <w:rPr>
          <w:rFonts w:cs="Arial"/>
          <w:color w:val="000000"/>
          <w:sz w:val="24"/>
          <w:szCs w:val="24"/>
        </w:rPr>
        <w:t>правляющ</w:t>
      </w:r>
      <w:r w:rsidR="00FF1B25" w:rsidRPr="00FD0FCE">
        <w:rPr>
          <w:rFonts w:cs="Arial"/>
          <w:color w:val="000000"/>
          <w:sz w:val="24"/>
          <w:szCs w:val="24"/>
        </w:rPr>
        <w:t>его</w:t>
      </w:r>
      <w:r w:rsidR="002E68A9" w:rsidRPr="00FD0FCE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FD0FCE">
        <w:rPr>
          <w:rFonts w:cs="Arial"/>
          <w:color w:val="000000"/>
          <w:sz w:val="24"/>
          <w:szCs w:val="24"/>
        </w:rPr>
        <w:t>.</w:t>
      </w:r>
    </w:p>
    <w:p w:rsidR="00C348E0" w:rsidRPr="00FD0FCE" w:rsidRDefault="00C348E0" w:rsidP="00C348E0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FD0FCE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1E12BE" w:rsidRPr="00FD0FCE" w:rsidRDefault="001E12BE" w:rsidP="001E12BE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FD0FCE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</w:t>
      </w:r>
      <w:r w:rsidR="00581D7D" w:rsidRPr="00FD0FCE">
        <w:rPr>
          <w:rFonts w:cs="Arial"/>
          <w:color w:val="000000"/>
          <w:sz w:val="24"/>
          <w:szCs w:val="24"/>
        </w:rPr>
        <w:t>ельности по управлению объектами</w:t>
      </w:r>
      <w:r w:rsidRPr="00FD0FCE">
        <w:rPr>
          <w:rFonts w:cs="Arial"/>
          <w:color w:val="000000"/>
          <w:sz w:val="24"/>
          <w:szCs w:val="24"/>
        </w:rPr>
        <w:t xml:space="preserve"> Д.У. В соответствии с Декларацией о рисках (Приложение №</w:t>
      </w:r>
      <w:proofErr w:type="gramStart"/>
      <w:r w:rsidRPr="00FD0FCE">
        <w:rPr>
          <w:rFonts w:cs="Arial"/>
          <w:color w:val="000000"/>
          <w:sz w:val="24"/>
          <w:szCs w:val="24"/>
        </w:rPr>
        <w:t>РДУ</w:t>
      </w:r>
      <w:r w:rsidR="00E0604E" w:rsidRPr="00FD0FCE">
        <w:rPr>
          <w:rFonts w:cs="Arial"/>
          <w:color w:val="000000"/>
          <w:sz w:val="24"/>
          <w:szCs w:val="24"/>
        </w:rPr>
        <w:t>–</w:t>
      </w:r>
      <w:r w:rsidRPr="00FD0FCE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FD0FCE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8B2193" w:rsidRPr="00FD0FCE">
        <w:rPr>
          <w:rFonts w:cs="Arial"/>
          <w:color w:val="000000"/>
          <w:sz w:val="24"/>
          <w:szCs w:val="24"/>
        </w:rPr>
        <w:t>.</w:t>
      </w:r>
    </w:p>
    <w:p w:rsidR="001E12BE" w:rsidRPr="00FD0FCE" w:rsidRDefault="001E12BE" w:rsidP="001E12BE">
      <w:pPr>
        <w:shd w:val="clear" w:color="auto" w:fill="FFFFFF"/>
        <w:ind w:right="23"/>
        <w:jc w:val="both"/>
        <w:rPr>
          <w:sz w:val="24"/>
          <w:szCs w:val="24"/>
        </w:rPr>
      </w:pPr>
      <w:r w:rsidRPr="00FD0FCE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1E12BE" w:rsidRDefault="001E12BE" w:rsidP="001E12BE">
      <w:pPr>
        <w:shd w:val="clear" w:color="auto" w:fill="FFFFFF"/>
        <w:ind w:right="23"/>
        <w:jc w:val="both"/>
        <w:rPr>
          <w:sz w:val="24"/>
          <w:szCs w:val="24"/>
        </w:rPr>
      </w:pPr>
      <w:r w:rsidRPr="00FD0FCE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1E12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95" w:rsidRDefault="00C84495" w:rsidP="00377450">
      <w:r>
        <w:separator/>
      </w:r>
    </w:p>
  </w:endnote>
  <w:endnote w:type="continuationSeparator" w:id="0">
    <w:p w:rsidR="00C84495" w:rsidRDefault="00C84495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0FCE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FD0FCE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188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FD0FCE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1886" r:id="rId2"/>
      </w:pict>
    </w:r>
  </w:p>
  <w:p w:rsidR="002C7977" w:rsidRDefault="00FD0FCE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887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95" w:rsidRDefault="00C84495" w:rsidP="00377450">
      <w:r>
        <w:separator/>
      </w:r>
    </w:p>
  </w:footnote>
  <w:footnote w:type="continuationSeparator" w:id="0">
    <w:p w:rsidR="00C84495" w:rsidRDefault="00C84495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D92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E12BE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2E68A9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81D7D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615D"/>
    <w:rsid w:val="006823E4"/>
    <w:rsid w:val="00682917"/>
    <w:rsid w:val="00691467"/>
    <w:rsid w:val="006C052C"/>
    <w:rsid w:val="006C293A"/>
    <w:rsid w:val="006D3D74"/>
    <w:rsid w:val="006D6A56"/>
    <w:rsid w:val="006E4247"/>
    <w:rsid w:val="006E6B67"/>
    <w:rsid w:val="0070094B"/>
    <w:rsid w:val="00713810"/>
    <w:rsid w:val="0072125A"/>
    <w:rsid w:val="00727AA3"/>
    <w:rsid w:val="00754017"/>
    <w:rsid w:val="00765266"/>
    <w:rsid w:val="0078047A"/>
    <w:rsid w:val="007A42F8"/>
    <w:rsid w:val="007C3247"/>
    <w:rsid w:val="007D152E"/>
    <w:rsid w:val="007D404E"/>
    <w:rsid w:val="008322BB"/>
    <w:rsid w:val="00861DD5"/>
    <w:rsid w:val="008A1854"/>
    <w:rsid w:val="008B2027"/>
    <w:rsid w:val="008B2193"/>
    <w:rsid w:val="008B443B"/>
    <w:rsid w:val="008F7997"/>
    <w:rsid w:val="009124A7"/>
    <w:rsid w:val="00914891"/>
    <w:rsid w:val="00920F92"/>
    <w:rsid w:val="0096247A"/>
    <w:rsid w:val="00964717"/>
    <w:rsid w:val="00973F1E"/>
    <w:rsid w:val="009920C1"/>
    <w:rsid w:val="009D1DD4"/>
    <w:rsid w:val="009E590A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3D1A"/>
    <w:rsid w:val="00B55CC6"/>
    <w:rsid w:val="00B811EF"/>
    <w:rsid w:val="00BC3CA1"/>
    <w:rsid w:val="00BD049E"/>
    <w:rsid w:val="00BD707C"/>
    <w:rsid w:val="00BF78BC"/>
    <w:rsid w:val="00C11B1F"/>
    <w:rsid w:val="00C25EC7"/>
    <w:rsid w:val="00C348E0"/>
    <w:rsid w:val="00C42D69"/>
    <w:rsid w:val="00C47564"/>
    <w:rsid w:val="00C52823"/>
    <w:rsid w:val="00C56EF1"/>
    <w:rsid w:val="00C60C91"/>
    <w:rsid w:val="00C64791"/>
    <w:rsid w:val="00C84495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C02E6"/>
    <w:rsid w:val="00DC40A6"/>
    <w:rsid w:val="00DF0630"/>
    <w:rsid w:val="00E049C7"/>
    <w:rsid w:val="00E0604E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D0FCE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6003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3</cp:revision>
  <cp:lastPrinted>2007-11-29T09:09:00Z</cp:lastPrinted>
  <dcterms:created xsi:type="dcterms:W3CDTF">2018-10-17T07:09:00Z</dcterms:created>
  <dcterms:modified xsi:type="dcterms:W3CDTF">2018-11-13T10:44:00Z</dcterms:modified>
</cp:coreProperties>
</file>