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BB748C" w:rsidRDefault="00614653" w:rsidP="00CB52B6">
      <w:pPr>
        <w:pStyle w:val="1"/>
        <w:shd w:val="clear" w:color="auto" w:fill="auto"/>
        <w:ind w:left="0" w:right="0" w:firstLine="0"/>
        <w:jc w:val="center"/>
        <w:rPr>
          <w:rFonts w:ascii="Times New Roman" w:hAnsi="Times New Roman" w:cs="Times New Roman"/>
          <w:color w:val="63002F"/>
          <w:sz w:val="22"/>
          <w:szCs w:val="22"/>
        </w:rPr>
      </w:pPr>
      <w:r w:rsidRPr="00BB748C">
        <w:rPr>
          <w:rFonts w:ascii="Times New Roman" w:hAnsi="Times New Roman" w:cs="Times New Roman"/>
          <w:color w:val="63002F"/>
          <w:sz w:val="22"/>
          <w:szCs w:val="22"/>
        </w:rPr>
        <w:t>ДЕКЛАРАЦИЯ О РИСКАХ</w:t>
      </w:r>
    </w:p>
    <w:p w:rsidR="00CD760D" w:rsidRPr="00BB748C" w:rsidRDefault="00CD760D" w:rsidP="00CD760D">
      <w:pPr>
        <w:rPr>
          <w:szCs w:val="22"/>
        </w:rPr>
      </w:pPr>
    </w:p>
    <w:p w:rsidR="00712FB3" w:rsidRPr="00BB748C" w:rsidRDefault="00712FB3" w:rsidP="00712FB3">
      <w:pPr>
        <w:shd w:val="clear" w:color="auto" w:fill="auto"/>
        <w:autoSpaceDE w:val="0"/>
        <w:autoSpaceDN w:val="0"/>
        <w:adjustRightInd w:val="0"/>
        <w:spacing w:line="240" w:lineRule="auto"/>
        <w:ind w:left="0" w:right="0" w:firstLine="540"/>
        <w:rPr>
          <w:szCs w:val="22"/>
        </w:rPr>
      </w:pPr>
      <w:r w:rsidRPr="00BB748C">
        <w:rPr>
          <w:szCs w:val="22"/>
        </w:rPr>
        <w:t xml:space="preserve">Настоящая Декларация предоставляется Вам </w:t>
      </w:r>
      <w:r w:rsidRPr="00BB748C">
        <w:t xml:space="preserve">при заключении Договор доверительного управления ценными бумагами и денежными средствами Учредителя управления </w:t>
      </w:r>
      <w:r w:rsidRPr="00BB748C">
        <w:rPr>
          <w:szCs w:val="22"/>
        </w:rPr>
        <w:t>(договор присоединения, далее - Договор). Настоящей декларацией Компания</w:t>
      </w:r>
      <w:r w:rsidRPr="00BB748C">
        <w:t xml:space="preserve"> уведомляет получателя финансовых услуг о рисках, связанных с заключением, исполнением и прекращением </w:t>
      </w:r>
      <w:r w:rsidRPr="00BB748C">
        <w:rPr>
          <w:szCs w:val="22"/>
        </w:rPr>
        <w:t>Договора</w:t>
      </w:r>
      <w:r w:rsidRPr="00BB748C">
        <w:t>.</w:t>
      </w:r>
    </w:p>
    <w:p w:rsidR="00795CA0" w:rsidRPr="00BB748C" w:rsidRDefault="00975D4B" w:rsidP="00975D4B">
      <w:pPr>
        <w:shd w:val="clear" w:color="auto" w:fill="auto"/>
        <w:autoSpaceDE w:val="0"/>
        <w:autoSpaceDN w:val="0"/>
        <w:adjustRightInd w:val="0"/>
        <w:spacing w:line="240" w:lineRule="auto"/>
        <w:ind w:left="0" w:right="0" w:firstLine="540"/>
        <w:rPr>
          <w:szCs w:val="22"/>
        </w:rPr>
      </w:pPr>
      <w:r w:rsidRPr="00BB748C">
        <w:rPr>
          <w:szCs w:val="22"/>
        </w:rPr>
        <w:t>Цель настоящей Декларации — предоставить Вам информацию об основных рисках, связанных с осуществлением операций на рынке ценных бумаг, иных финансовых рынках, при оказании Вам услуг в рамках заключаемого (заключенного) с Компанией Договора, о рисках, связанных с производными финансовыми инструментами и с операциями с иностранными финансовыми инструментами.</w:t>
      </w:r>
    </w:p>
    <w:p w:rsidR="00975D4B" w:rsidRPr="00BB748C" w:rsidRDefault="00795CA0" w:rsidP="00795CA0">
      <w:pPr>
        <w:shd w:val="clear" w:color="auto" w:fill="auto"/>
        <w:autoSpaceDE w:val="0"/>
        <w:autoSpaceDN w:val="0"/>
        <w:adjustRightInd w:val="0"/>
        <w:spacing w:line="240" w:lineRule="auto"/>
        <w:ind w:left="0" w:right="0" w:firstLine="540"/>
        <w:rPr>
          <w:szCs w:val="22"/>
        </w:rPr>
      </w:pPr>
      <w:r w:rsidRPr="00BB748C">
        <w:rPr>
          <w:szCs w:val="22"/>
        </w:rPr>
        <w:t xml:space="preserve">Далее, в зависимости от контекста, под Управляющим понимается Компания, </w:t>
      </w:r>
      <w:r w:rsidRPr="00BB748C">
        <w:rPr>
          <w:rFonts w:eastAsiaTheme="minorHAnsi"/>
          <w:szCs w:val="22"/>
        </w:rPr>
        <w:t>осуществляющая доверительное управление ценными бумагами и денежными средствами Учредителя управления в рамках Договора, или профессиональный участник рынка ценных бумаг, осуществляющий деятельность по управлению ценными бумагами.</w:t>
      </w:r>
      <w:r w:rsidR="00975D4B" w:rsidRPr="00BB748C">
        <w:rPr>
          <w:szCs w:val="22"/>
        </w:rPr>
        <w:t xml:space="preserve"> </w:t>
      </w:r>
    </w:p>
    <w:p w:rsidR="00975D4B" w:rsidRDefault="00975D4B" w:rsidP="00975D4B">
      <w:pPr>
        <w:shd w:val="clear" w:color="auto" w:fill="auto"/>
        <w:autoSpaceDE w:val="0"/>
        <w:autoSpaceDN w:val="0"/>
        <w:adjustRightInd w:val="0"/>
        <w:spacing w:line="240" w:lineRule="auto"/>
        <w:ind w:left="0" w:right="0" w:firstLine="540"/>
        <w:rPr>
          <w:rFonts w:eastAsiaTheme="minorHAnsi"/>
          <w:szCs w:val="22"/>
        </w:rPr>
      </w:pPr>
      <w:r w:rsidRPr="00BB748C">
        <w:rPr>
          <w:rFonts w:eastAsiaTheme="minorHAnsi"/>
          <w:szCs w:val="22"/>
        </w:rPr>
        <w:t>Настоящая Декларация не раскрывает информацию обо всех рисках, с которыми может столкнуться Клиент в рамках Договора.</w:t>
      </w:r>
    </w:p>
    <w:p w:rsidR="00BB748C" w:rsidRDefault="00BB748C" w:rsidP="00975D4B">
      <w:pPr>
        <w:shd w:val="clear" w:color="auto" w:fill="auto"/>
        <w:autoSpaceDE w:val="0"/>
        <w:autoSpaceDN w:val="0"/>
        <w:adjustRightInd w:val="0"/>
        <w:spacing w:line="240" w:lineRule="auto"/>
        <w:ind w:left="0" w:right="0" w:firstLine="540"/>
        <w:rPr>
          <w:rFonts w:eastAsiaTheme="minorHAnsi"/>
          <w:szCs w:val="22"/>
        </w:rPr>
      </w:pPr>
    </w:p>
    <w:p w:rsidR="00975D4B" w:rsidRPr="00BB748C" w:rsidRDefault="00975D4B" w:rsidP="00975D4B">
      <w:pPr>
        <w:rPr>
          <w:szCs w:val="22"/>
        </w:rPr>
      </w:pPr>
      <w:r w:rsidRPr="00BB748C">
        <w:rPr>
          <w:szCs w:val="22"/>
        </w:rPr>
        <w:t xml:space="preserve"> </w:t>
      </w:r>
    </w:p>
    <w:p w:rsidR="00975D4B" w:rsidRPr="00BB748C" w:rsidRDefault="00975D4B" w:rsidP="00975D4B">
      <w:pPr>
        <w:spacing w:line="240" w:lineRule="auto"/>
        <w:ind w:left="360" w:firstLine="0"/>
        <w:jc w:val="center"/>
        <w:rPr>
          <w:b/>
        </w:rPr>
      </w:pPr>
      <w:r w:rsidRPr="00BB748C">
        <w:rPr>
          <w:b/>
        </w:rPr>
        <w:t xml:space="preserve">Раздел А. Декларация об общих рисках, связанных с осуществлением операций </w:t>
      </w:r>
    </w:p>
    <w:p w:rsidR="00975D4B" w:rsidRPr="00BB748C" w:rsidRDefault="00975D4B" w:rsidP="00975D4B">
      <w:pPr>
        <w:spacing w:line="240" w:lineRule="auto"/>
        <w:ind w:left="360" w:firstLine="0"/>
        <w:jc w:val="center"/>
        <w:rPr>
          <w:b/>
        </w:rPr>
      </w:pPr>
      <w:r w:rsidRPr="00BB748C">
        <w:rPr>
          <w:b/>
        </w:rPr>
        <w:t>на рынке ценных бумаг</w:t>
      </w:r>
    </w:p>
    <w:p w:rsidR="00975D4B" w:rsidRPr="00BB748C" w:rsidRDefault="00975D4B" w:rsidP="00975D4B">
      <w:pPr>
        <w:pStyle w:val="a8"/>
        <w:spacing w:line="240" w:lineRule="auto"/>
        <w:ind w:firstLine="0"/>
        <w:rPr>
          <w:b/>
        </w:rPr>
      </w:pPr>
    </w:p>
    <w:p w:rsidR="00975D4B" w:rsidRPr="00BB748C" w:rsidRDefault="00975D4B" w:rsidP="00975D4B">
      <w:pPr>
        <w:spacing w:line="240" w:lineRule="auto"/>
        <w:ind w:left="0" w:firstLine="360"/>
      </w:pPr>
      <w:r w:rsidRPr="00BB748C">
        <w:t>Цель декларации об общих рисках, связанных с осуществлением операций на рынке ценных бумаг (далее – Декларация об общих рисках)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об общих рисках не раскрывает информацию обо всех рисках на рынке ценных бумаг вследствие разнообразия возникающих на нем ситуаций.</w:t>
      </w:r>
    </w:p>
    <w:p w:rsidR="00975D4B" w:rsidRPr="00BB748C" w:rsidRDefault="00975D4B" w:rsidP="00975D4B">
      <w:pPr>
        <w:spacing w:line="240" w:lineRule="auto"/>
        <w:ind w:firstLine="375"/>
      </w:pPr>
      <w:r w:rsidRPr="00BB748C">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975D4B" w:rsidRPr="00BB748C" w:rsidRDefault="00975D4B" w:rsidP="00975D4B">
      <w:pPr>
        <w:spacing w:line="240" w:lineRule="auto"/>
        <w:ind w:firstLine="375"/>
      </w:pPr>
    </w:p>
    <w:p w:rsidR="00975D4B" w:rsidRPr="00BB748C" w:rsidRDefault="00975D4B" w:rsidP="00975D4B">
      <w:pPr>
        <w:pStyle w:val="a8"/>
        <w:numPr>
          <w:ilvl w:val="0"/>
          <w:numId w:val="42"/>
        </w:numPr>
        <w:spacing w:line="240" w:lineRule="auto"/>
        <w:ind w:left="851" w:hanging="425"/>
        <w:rPr>
          <w:b/>
        </w:rPr>
      </w:pPr>
      <w:r w:rsidRPr="00BB748C">
        <w:rPr>
          <w:b/>
        </w:rPr>
        <w:t xml:space="preserve">Системный риск </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II</w:t>
      </w:r>
      <w:r w:rsidRPr="00BB748C">
        <w:rPr>
          <w:b/>
        </w:rPr>
        <w:t>.   Рыночный риск</w:t>
      </w:r>
    </w:p>
    <w:p w:rsidR="00975D4B" w:rsidRPr="00BB748C" w:rsidRDefault="00975D4B" w:rsidP="00975D4B">
      <w:pPr>
        <w:spacing w:line="240" w:lineRule="auto"/>
        <w:ind w:firstLine="375"/>
      </w:pPr>
    </w:p>
    <w:p w:rsidR="00975D4B" w:rsidRPr="00BB748C" w:rsidRDefault="00975D4B" w:rsidP="00975D4B">
      <w:pPr>
        <w:spacing w:line="240" w:lineRule="auto"/>
        <w:ind w:firstLine="375"/>
      </w:pPr>
      <w:proofErr w:type="gramStart"/>
      <w:r w:rsidRPr="00BB748C">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BB748C">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BB748C">
        <w:t>может</w:t>
      </w:r>
      <w:proofErr w:type="gramEnd"/>
      <w:r w:rsidRPr="00BB748C">
        <w:t xml:space="preserve"> как расти, так и снижаться, и ее рост в прошлом не означает ее роста в будущем.</w:t>
      </w:r>
    </w:p>
    <w:p w:rsidR="00975D4B" w:rsidRPr="00BB748C" w:rsidRDefault="00975D4B" w:rsidP="00975D4B">
      <w:pPr>
        <w:spacing w:line="240" w:lineRule="auto"/>
        <w:ind w:firstLine="375"/>
      </w:pPr>
      <w:r w:rsidRPr="00BB748C">
        <w:rPr>
          <w:lang w:val="en-US"/>
        </w:rPr>
        <w:t>C</w:t>
      </w:r>
      <w:proofErr w:type="spellStart"/>
      <w:r w:rsidRPr="00BB748C">
        <w:t>ледует</w:t>
      </w:r>
      <w:proofErr w:type="spellEnd"/>
      <w:r w:rsidRPr="00BB748C">
        <w:t xml:space="preserve"> специально обратить внимание на следующие рыночные риски: </w:t>
      </w:r>
    </w:p>
    <w:p w:rsidR="00975D4B" w:rsidRDefault="00975D4B" w:rsidP="00975D4B">
      <w:pPr>
        <w:spacing w:line="240" w:lineRule="auto"/>
        <w:ind w:firstLine="375"/>
      </w:pPr>
    </w:p>
    <w:p w:rsidR="00BB748C" w:rsidRDefault="00BB748C" w:rsidP="00975D4B">
      <w:pPr>
        <w:spacing w:line="240" w:lineRule="auto"/>
        <w:ind w:firstLine="375"/>
      </w:pPr>
    </w:p>
    <w:p w:rsidR="00BB748C" w:rsidRPr="00BB748C" w:rsidRDefault="00BB748C" w:rsidP="00975D4B">
      <w:pPr>
        <w:spacing w:line="240" w:lineRule="auto"/>
        <w:ind w:firstLine="375"/>
      </w:pPr>
      <w:bookmarkStart w:id="0" w:name="_GoBack"/>
      <w:bookmarkEnd w:id="0"/>
    </w:p>
    <w:p w:rsidR="00975D4B" w:rsidRPr="00BB748C" w:rsidRDefault="00975D4B" w:rsidP="00975D4B">
      <w:pPr>
        <w:spacing w:line="240" w:lineRule="auto"/>
        <w:ind w:firstLine="375"/>
        <w:rPr>
          <w:b/>
        </w:rPr>
      </w:pPr>
      <w:r w:rsidRPr="00BB748C">
        <w:rPr>
          <w:b/>
        </w:rPr>
        <w:lastRenderedPageBreak/>
        <w:t>1. Валютный риск</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rPr>
        <w:t>2. Процентный риск</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rPr>
        <w:t>3. Риск банкротства эмитента акций</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Проявляется в резком падении цены акций акционерного общества, признанного несостоятельным, или в предвидении такой несостоятельности.</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III</w:t>
      </w:r>
      <w:proofErr w:type="gramStart"/>
      <w:r w:rsidRPr="00BB748C">
        <w:rPr>
          <w:b/>
        </w:rPr>
        <w:t>.  Риск</w:t>
      </w:r>
      <w:proofErr w:type="gramEnd"/>
      <w:r w:rsidRPr="00BB748C">
        <w:rPr>
          <w:b/>
        </w:rPr>
        <w:t xml:space="preserve"> ликвидности</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IV</w:t>
      </w:r>
      <w:proofErr w:type="gramStart"/>
      <w:r w:rsidRPr="00BB748C">
        <w:rPr>
          <w:b/>
        </w:rPr>
        <w:t>.  Кредитный</w:t>
      </w:r>
      <w:proofErr w:type="gramEnd"/>
      <w:r w:rsidRPr="00BB748C">
        <w:rPr>
          <w:b/>
        </w:rPr>
        <w:t xml:space="preserve"> риск</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975D4B" w:rsidRPr="00BB748C" w:rsidRDefault="00975D4B" w:rsidP="00975D4B">
      <w:pPr>
        <w:spacing w:line="240" w:lineRule="auto"/>
        <w:ind w:firstLine="375"/>
      </w:pPr>
      <w:r w:rsidRPr="00BB748C">
        <w:t>К числу кредитных рисков относятся следующие риски:</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rPr>
        <w:t>1. Риск дефолта по облигациям и иным долговым ценным бумагам</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rPr>
        <w:t>2. Риск контрагента</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975D4B" w:rsidRPr="00BB748C" w:rsidRDefault="00975D4B" w:rsidP="00975D4B">
      <w:pPr>
        <w:spacing w:line="240" w:lineRule="auto"/>
        <w:ind w:firstLine="375"/>
      </w:pPr>
      <w:r w:rsidRPr="00BB748C">
        <w:lastRenderedPageBreak/>
        <w:t>Вы должны отдавать себе отчет в том, что хотя Управляющий действует, в общем случае,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BB748C">
        <w:t>ств тр</w:t>
      </w:r>
      <w:proofErr w:type="gramEnd"/>
      <w:r w:rsidRPr="00BB748C">
        <w:t>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rPr>
        <w:t>3. Риск неисполнения обязательств перед Вами Вашим Управляющим</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Риск неисполнения Вашим Управляющим некоторых обязательств перед Вами является видом риска контрагента.</w:t>
      </w:r>
    </w:p>
    <w:p w:rsidR="00975D4B" w:rsidRPr="00BB748C" w:rsidRDefault="00975D4B" w:rsidP="00975D4B">
      <w:pPr>
        <w:spacing w:line="240" w:lineRule="auto"/>
        <w:ind w:firstLine="375"/>
      </w:pPr>
      <w:r w:rsidRPr="00BB748C">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w:t>
      </w:r>
      <w:r w:rsidR="00795CA0" w:rsidRPr="00BB748C">
        <w:t>В</w:t>
      </w:r>
      <w:r w:rsidRPr="00BB748C">
        <w:t>ас.</w:t>
      </w:r>
    </w:p>
    <w:p w:rsidR="00975D4B" w:rsidRPr="00BB748C" w:rsidRDefault="00975D4B" w:rsidP="00975D4B">
      <w:pPr>
        <w:spacing w:line="240" w:lineRule="auto"/>
        <w:ind w:firstLine="375"/>
      </w:pPr>
      <w:r w:rsidRPr="00BB748C">
        <w:t xml:space="preserve">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w:t>
      </w:r>
      <w:r w:rsidR="00795CA0" w:rsidRPr="00BB748C">
        <w:t>В</w:t>
      </w:r>
      <w:r w:rsidRPr="00BB748C">
        <w:t xml:space="preserve">ашей стороны в определенных случаях, ограничивая, таким образом, полномочия </w:t>
      </w:r>
      <w:r w:rsidR="00795CA0" w:rsidRPr="00BB748C">
        <w:t>У</w:t>
      </w:r>
      <w:r w:rsidRPr="00BB748C">
        <w:t xml:space="preserve">правляющего. Вы должны отдавать себе отчет в том, что если </w:t>
      </w:r>
      <w:r w:rsidR="00795CA0" w:rsidRPr="00BB748C">
        <w:t>Д</w:t>
      </w:r>
      <w:r w:rsidRPr="00BB748C">
        <w:t xml:space="preserve">оговор не содержит таких или иных ограничений, </w:t>
      </w:r>
      <w:r w:rsidR="00795CA0" w:rsidRPr="00BB748C">
        <w:t>У</w:t>
      </w:r>
      <w:r w:rsidRPr="00BB748C">
        <w:t xml:space="preserve">правляющий обладает широкими правами в отношении переданного ему имущества — аналогичными </w:t>
      </w:r>
      <w:r w:rsidR="00795CA0" w:rsidRPr="00BB748C">
        <w:t>В</w:t>
      </w:r>
      <w:r w:rsidRPr="00BB748C">
        <w:t xml:space="preserve">ашим правам как собственника. Внимательно ознакомьтесь с </w:t>
      </w:r>
      <w:r w:rsidR="00795CA0" w:rsidRPr="00BB748C">
        <w:t>Д</w:t>
      </w:r>
      <w:r w:rsidRPr="00BB748C">
        <w:t xml:space="preserve">оговором для того, чтобы оценить, какие полномочия по использованию </w:t>
      </w:r>
      <w:r w:rsidR="00795CA0" w:rsidRPr="00BB748C">
        <w:t>В</w:t>
      </w:r>
      <w:r w:rsidRPr="00BB748C">
        <w:t xml:space="preserve">ашего имущества будет иметь </w:t>
      </w:r>
      <w:r w:rsidR="00795CA0" w:rsidRPr="00BB748C">
        <w:t>В</w:t>
      </w:r>
      <w:r w:rsidRPr="00BB748C">
        <w:t xml:space="preserve">аш </w:t>
      </w:r>
      <w:r w:rsidR="00795CA0" w:rsidRPr="00BB748C">
        <w:t>У</w:t>
      </w:r>
      <w:r w:rsidRPr="00BB748C">
        <w:t>правляющий, каковы правила его хранения, а также возврата.</w:t>
      </w:r>
    </w:p>
    <w:p w:rsidR="00975D4B" w:rsidRPr="00BB748C" w:rsidRDefault="00975D4B" w:rsidP="00975D4B">
      <w:pPr>
        <w:spacing w:line="240" w:lineRule="auto"/>
        <w:ind w:firstLine="375"/>
      </w:pPr>
      <w:r w:rsidRPr="00BB748C">
        <w:t xml:space="preserve">Компания является членом НАУФОР, к которой </w:t>
      </w:r>
      <w:r w:rsidR="00795CA0" w:rsidRPr="00BB748C">
        <w:t>В</w:t>
      </w:r>
      <w:r w:rsidRPr="00BB748C">
        <w:t>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V</w:t>
      </w:r>
      <w:r w:rsidRPr="00BB748C">
        <w:rPr>
          <w:b/>
        </w:rPr>
        <w:t>. Правовой риск</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975D4B" w:rsidRPr="00BB748C" w:rsidRDefault="00975D4B" w:rsidP="00975D4B">
      <w:pPr>
        <w:spacing w:line="240" w:lineRule="auto"/>
        <w:ind w:firstLine="375"/>
      </w:pPr>
      <w:r w:rsidRPr="00BB748C">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VI</w:t>
      </w:r>
      <w:r w:rsidRPr="00BB748C">
        <w:rPr>
          <w:b/>
        </w:rPr>
        <w:t>. Операционный риск</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 xml:space="preserve">Заключается в возможности причинения Вам убытков в результате нарушения внутренних процедур Вашего </w:t>
      </w:r>
      <w:r w:rsidR="00795CA0" w:rsidRPr="00BB748C">
        <w:t>Управляющего</w:t>
      </w:r>
      <w:r w:rsidRPr="00BB748C">
        <w:t xml:space="preserve">, ошибок и </w:t>
      </w:r>
      <w:proofErr w:type="spellStart"/>
      <w:r w:rsidRPr="00BB748C">
        <w:t>недобросоветстных</w:t>
      </w:r>
      <w:proofErr w:type="spellEnd"/>
      <w:r w:rsidRPr="00BB748C">
        <w:t xml:space="preserve"> действий его сотрудников, сбоев в работе технических средств Вашего </w:t>
      </w:r>
      <w:r w:rsidR="00795CA0" w:rsidRPr="00BB748C">
        <w:t>Управляющего</w:t>
      </w:r>
      <w:r w:rsidRPr="00BB748C">
        <w:t>,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975D4B" w:rsidRPr="00BB748C" w:rsidRDefault="00975D4B" w:rsidP="00975D4B">
      <w:pPr>
        <w:spacing w:line="240" w:lineRule="auto"/>
        <w:ind w:firstLine="375"/>
      </w:pPr>
      <w:r w:rsidRPr="00BB748C">
        <w:t xml:space="preserve">Ознакомьтесь внимательно с </w:t>
      </w:r>
      <w:r w:rsidR="00795CA0" w:rsidRPr="00BB748C">
        <w:t>Д</w:t>
      </w:r>
      <w:r w:rsidRPr="00BB748C">
        <w:t xml:space="preserve">оговором для того, чтобы оценить, какие из рисков, в том числе риски каких технических сбоев, несет Ваш </w:t>
      </w:r>
      <w:r w:rsidR="00795CA0" w:rsidRPr="00BB748C">
        <w:t>Управляющего</w:t>
      </w:r>
      <w:r w:rsidRPr="00BB748C">
        <w:t>, а какие из рисков несете Вы.</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VII</w:t>
      </w:r>
      <w:r w:rsidRPr="00BB748C">
        <w:rPr>
          <w:b/>
        </w:rPr>
        <w:t xml:space="preserve">. Риски, связанные с индивидуальными инвестиционными счетами </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 xml:space="preserve">Если заключаемый Вами договор связан с ведением индивидуального инвестиционного счета, он позволяет Вам получить инвестиционный налоговый вычет. </w:t>
      </w:r>
      <w:proofErr w:type="gramStart"/>
      <w:r w:rsidRPr="00BB748C">
        <w:t xml:space="preserve">Все риски, которые упомянуты в настоящей Декларации об общих рисках, в общем случае, имеют отношение и к индивидуальным инвестиционным </w:t>
      </w:r>
      <w:r w:rsidRPr="00BB748C">
        <w:lastRenderedPageBreak/>
        <w:t xml:space="preserve">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roofErr w:type="gramEnd"/>
    </w:p>
    <w:p w:rsidR="00975D4B" w:rsidRPr="00BB748C" w:rsidRDefault="00975D4B" w:rsidP="00975D4B">
      <w:pPr>
        <w:spacing w:line="240" w:lineRule="auto"/>
        <w:ind w:firstLine="375"/>
      </w:pPr>
      <w:r w:rsidRPr="00BB748C">
        <w:t xml:space="preserve">Существует два варианта инвестиционных налоговых вычетов: </w:t>
      </w:r>
    </w:p>
    <w:p w:rsidR="00975D4B" w:rsidRPr="00BB748C" w:rsidRDefault="00975D4B" w:rsidP="00975D4B">
      <w:pPr>
        <w:spacing w:line="240" w:lineRule="auto"/>
        <w:ind w:firstLine="375"/>
      </w:pPr>
      <w:r w:rsidRPr="00BB748C">
        <w:t>1) «на взнос», по которому Вы можете ежегодно обращаться за возвратом уплаченного налога на доходы физических лиц (НДФЛ) на сумму сделанного Вами взноса, но должны будете уплатить налог на доход, исчисленный при закрытии индивидуального инвестиционного счета;</w:t>
      </w:r>
    </w:p>
    <w:p w:rsidR="00975D4B" w:rsidRPr="00BB748C" w:rsidRDefault="00975D4B" w:rsidP="00975D4B">
      <w:pPr>
        <w:spacing w:line="240" w:lineRule="auto"/>
        <w:ind w:firstLine="375"/>
      </w:pPr>
      <w:r w:rsidRPr="00BB748C">
        <w:t xml:space="preserve">2) «на изъятие средств со счета», по которому Вы не сможете получать ежегодный возврат налога, но будете освобождены от уплаты НДФЛ при изъятии средств с индивидуального инвестиционного счета. </w:t>
      </w:r>
    </w:p>
    <w:p w:rsidR="00975D4B" w:rsidRPr="00BB748C" w:rsidRDefault="00975D4B" w:rsidP="00975D4B">
      <w:pPr>
        <w:spacing w:line="240" w:lineRule="auto"/>
        <w:ind w:firstLine="375"/>
      </w:pPr>
      <w:r w:rsidRPr="00BB748C">
        <w:t xml:space="preserve">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w:t>
      </w:r>
      <w:r w:rsidR="00FB7533" w:rsidRPr="00BB748C">
        <w:t>Управляющим</w:t>
      </w:r>
      <w:r w:rsidRPr="00BB748C">
        <w:t xml:space="preserve"> и (или) консультантом, специализирующимся на соответствующих консультациях.</w:t>
      </w:r>
    </w:p>
    <w:p w:rsidR="00975D4B" w:rsidRPr="00BB748C" w:rsidRDefault="00975D4B" w:rsidP="00975D4B">
      <w:pPr>
        <w:spacing w:line="240" w:lineRule="auto"/>
        <w:ind w:firstLine="375"/>
      </w:pPr>
      <w:r w:rsidRPr="00BB748C">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975D4B" w:rsidRPr="00BB748C" w:rsidRDefault="00975D4B" w:rsidP="00975D4B">
      <w:pPr>
        <w:spacing w:line="240" w:lineRule="auto"/>
        <w:ind w:firstLine="375"/>
      </w:pPr>
      <w:r w:rsidRPr="00BB748C">
        <w:t xml:space="preserve">Ваш </w:t>
      </w:r>
      <w:r w:rsidR="00FB7533" w:rsidRPr="00BB748C">
        <w:t>Управляющий</w:t>
      </w:r>
      <w:r w:rsidRPr="00BB748C">
        <w:t xml:space="preserve"> не знает о Вашем выборе варианта инвестиционного налогового вычета и не участвует в Ваших отношениях с налоговой службой.</w:t>
      </w:r>
    </w:p>
    <w:p w:rsidR="00975D4B" w:rsidRPr="00BB748C" w:rsidRDefault="00975D4B" w:rsidP="00975D4B">
      <w:pPr>
        <w:spacing w:line="240" w:lineRule="auto"/>
        <w:ind w:firstLine="375"/>
      </w:pPr>
      <w:r w:rsidRPr="00BB748C">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975D4B" w:rsidRPr="00BB748C" w:rsidRDefault="00975D4B" w:rsidP="00975D4B">
      <w:pPr>
        <w:spacing w:line="240" w:lineRule="auto"/>
        <w:ind w:firstLine="375"/>
      </w:pPr>
    </w:p>
    <w:p w:rsidR="00975D4B" w:rsidRPr="00BB748C" w:rsidRDefault="00975D4B" w:rsidP="00975D4B">
      <w:pPr>
        <w:spacing w:line="240" w:lineRule="auto"/>
        <w:jc w:val="center"/>
        <w:rPr>
          <w:b/>
        </w:rPr>
      </w:pPr>
      <w:r w:rsidRPr="00BB748C">
        <w:rPr>
          <w:b/>
        </w:rPr>
        <w:t xml:space="preserve">Раздел Б. Декларация о рисках, связанных с совершением </w:t>
      </w:r>
    </w:p>
    <w:p w:rsidR="00975D4B" w:rsidRPr="00BB748C" w:rsidRDefault="00975D4B" w:rsidP="00975D4B">
      <w:pPr>
        <w:spacing w:line="240" w:lineRule="auto"/>
        <w:jc w:val="center"/>
        <w:rPr>
          <w:b/>
        </w:rPr>
      </w:pPr>
      <w:r w:rsidRPr="00BB748C">
        <w:rPr>
          <w:b/>
        </w:rPr>
        <w:t>маржинальных и непокрытых сделок</w:t>
      </w:r>
    </w:p>
    <w:p w:rsidR="00975D4B" w:rsidRPr="00BB748C" w:rsidRDefault="00975D4B" w:rsidP="00975D4B">
      <w:pPr>
        <w:spacing w:line="240" w:lineRule="auto"/>
        <w:jc w:val="center"/>
        <w:rPr>
          <w:b/>
        </w:rPr>
      </w:pPr>
    </w:p>
    <w:p w:rsidR="00975D4B" w:rsidRPr="00BB748C" w:rsidRDefault="00975D4B" w:rsidP="00975D4B">
      <w:pPr>
        <w:spacing w:line="240" w:lineRule="auto"/>
      </w:pPr>
      <w:proofErr w:type="gramStart"/>
      <w:r w:rsidRPr="00BB748C">
        <w:t>Цель настоящей декларации о рисках, связанных с совершением маржинальных и непокрытых сделок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w:t>
      </w:r>
      <w:r w:rsidR="00FB7533" w:rsidRPr="00BB748C">
        <w:t>емных средств, предоставленных б</w:t>
      </w:r>
      <w:r w:rsidRPr="00BB748C">
        <w:t xml:space="preserve">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w:t>
      </w:r>
      <w:r w:rsidR="00FB7533" w:rsidRPr="00BB748C">
        <w:t>имущества Клиента, переданного б</w:t>
      </w:r>
      <w:r w:rsidRPr="00BB748C">
        <w:t>рокеру</w:t>
      </w:r>
      <w:proofErr w:type="gramEnd"/>
      <w:r w:rsidRPr="00BB748C">
        <w:t>, недостаточно с учетом иных ранее заключенных сделок).</w:t>
      </w:r>
    </w:p>
    <w:p w:rsidR="00975D4B" w:rsidRPr="00BB748C" w:rsidRDefault="00975D4B" w:rsidP="00975D4B">
      <w:pPr>
        <w:spacing w:line="240" w:lineRule="auto"/>
        <w:ind w:firstLine="375"/>
      </w:pPr>
      <w:r w:rsidRPr="00BB748C">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BB748C">
        <w:t>ств Кл</w:t>
      </w:r>
      <w:proofErr w:type="gramEnd"/>
      <w:r w:rsidRPr="00BB748C">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BB748C">
        <w:t>менее</w:t>
      </w:r>
      <w:proofErr w:type="gramEnd"/>
      <w:r w:rsidRPr="00BB748C">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I</w:t>
      </w:r>
      <w:r w:rsidRPr="00BB748C">
        <w:rPr>
          <w:b/>
        </w:rPr>
        <w:t>. Рыночный риск</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975D4B" w:rsidRPr="00BB748C" w:rsidRDefault="00975D4B" w:rsidP="00975D4B">
      <w:pPr>
        <w:spacing w:line="240" w:lineRule="auto"/>
        <w:ind w:firstLine="375"/>
      </w:pPr>
      <w:proofErr w:type="gramStart"/>
      <w:r w:rsidRPr="00BB748C">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BB748C">
        <w:t xml:space="preserve"> При этом</w:t>
      </w:r>
      <w:proofErr w:type="gramStart"/>
      <w:r w:rsidRPr="00BB748C">
        <w:t>,</w:t>
      </w:r>
      <w:proofErr w:type="gramEnd"/>
      <w:r w:rsidRPr="00BB748C">
        <w:t xml:space="preserve"> в случае если непокрытая позиция возникла или увеличилась в результате продажи ценных бумаг, величина убытков ничем не ограничена – </w:t>
      </w:r>
      <w:r w:rsidR="0014100E" w:rsidRPr="00BB748C">
        <w:t>Ваш Управляющий будет обязан вернуть (передать) б</w:t>
      </w:r>
      <w:r w:rsidRPr="00BB748C">
        <w:t>рокеру ценные бумаги независимо от изменения их стоимости.</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lastRenderedPageBreak/>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 xml:space="preserve">Имущество (часть имущества), принадлежащее Вам, в результате совершения маржинальной или непокрытой сделки является обеспечением исполнения </w:t>
      </w:r>
      <w:r w:rsidR="0014100E" w:rsidRPr="00BB748C">
        <w:t>обязательств Вашего Управляющего перед б</w:t>
      </w:r>
      <w:r w:rsidRPr="00BB748C">
        <w:t>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w:t>
      </w:r>
      <w:r w:rsidR="0014100E" w:rsidRPr="00BB748C">
        <w:t xml:space="preserve">согласия </w:t>
      </w:r>
      <w:r w:rsidRPr="00BB748C">
        <w:t>Вашего</w:t>
      </w:r>
      <w:r w:rsidR="0014100E" w:rsidRPr="00BB748C">
        <w:t xml:space="preserve"> Управляющего</w:t>
      </w:r>
      <w:r w:rsidRPr="00BB748C">
        <w:t xml:space="preserve">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75D4B" w:rsidRPr="00BB748C" w:rsidRDefault="00975D4B" w:rsidP="00975D4B">
      <w:pPr>
        <w:spacing w:line="240" w:lineRule="auto"/>
        <w:ind w:firstLine="375"/>
      </w:pPr>
      <w:r w:rsidRPr="00BB748C">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975D4B" w:rsidRPr="00BB748C" w:rsidRDefault="00975D4B" w:rsidP="00975D4B">
      <w:pPr>
        <w:spacing w:line="240" w:lineRule="auto"/>
        <w:ind w:firstLine="375"/>
      </w:pPr>
      <w:r w:rsidRPr="00BB748C">
        <w:t>Принудительное закрытие позиции может быть вызвано требованиями н</w:t>
      </w:r>
      <w:r w:rsidR="00597B9D" w:rsidRPr="00BB748C">
        <w:t>ормативных актов или внесением б</w:t>
      </w:r>
      <w:r w:rsidRPr="00BB748C">
        <w:t xml:space="preserve">рокером в одностороннем порядке изменений в список ценных бумаг, которые могут быть обеспечением по непокрытым позициям. </w:t>
      </w:r>
    </w:p>
    <w:p w:rsidR="00975D4B" w:rsidRPr="00BB748C" w:rsidRDefault="00975D4B" w:rsidP="00975D4B">
      <w:pPr>
        <w:spacing w:line="240" w:lineRule="auto"/>
        <w:ind w:firstLine="375"/>
      </w:pPr>
      <w:r w:rsidRPr="00BB748C">
        <w:t>Принудительное закрытие может быть вызвано изменением значений ставок риска, рассчитываемых клиринговой орг</w:t>
      </w:r>
      <w:r w:rsidR="00597B9D" w:rsidRPr="00BB748C">
        <w:t>анизацией и (или) используемых б</w:t>
      </w:r>
      <w:r w:rsidRPr="00BB748C">
        <w:t>рокером в связи с увеличением волатильности соответствующих ценных бумаг.</w:t>
      </w:r>
    </w:p>
    <w:p w:rsidR="00975D4B" w:rsidRPr="00BB748C" w:rsidRDefault="00975D4B" w:rsidP="00975D4B">
      <w:pPr>
        <w:spacing w:line="240" w:lineRule="auto"/>
        <w:ind w:firstLine="375"/>
      </w:pPr>
      <w:r w:rsidRPr="00BB748C">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II</w:t>
      </w:r>
      <w:r w:rsidRPr="00BB748C">
        <w:rPr>
          <w:b/>
        </w:rPr>
        <w:t>. Риск ликвидности</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w:t>
      </w:r>
      <w:r w:rsidR="0014100E" w:rsidRPr="00BB748C">
        <w:t>ликвидности, если обеспечением В</w:t>
      </w:r>
      <w:r w:rsidRPr="00BB748C">
        <w:t>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975D4B" w:rsidRPr="00BB748C" w:rsidRDefault="00975D4B" w:rsidP="00975D4B">
      <w:pPr>
        <w:spacing w:line="240" w:lineRule="auto"/>
        <w:ind w:firstLine="375"/>
      </w:pPr>
    </w:p>
    <w:p w:rsidR="00975D4B" w:rsidRPr="00BB748C" w:rsidRDefault="00975D4B" w:rsidP="00975D4B">
      <w:pPr>
        <w:spacing w:after="100" w:afterAutospacing="1" w:line="240" w:lineRule="auto"/>
        <w:jc w:val="center"/>
        <w:rPr>
          <w:b/>
        </w:rPr>
      </w:pPr>
      <w:r w:rsidRPr="00BB748C">
        <w:rPr>
          <w:b/>
        </w:rPr>
        <w:t>Раздел В. Декларация о рисках, связанных с производными финансовыми инструментами</w:t>
      </w:r>
    </w:p>
    <w:p w:rsidR="00975D4B" w:rsidRPr="00BB748C" w:rsidRDefault="00975D4B" w:rsidP="00975D4B">
      <w:pPr>
        <w:spacing w:line="240" w:lineRule="auto"/>
        <w:ind w:firstLine="375"/>
      </w:pPr>
      <w:r w:rsidRPr="00BB748C">
        <w:t>Цель настоящей декларации о рисках, связанных с производными финансовыми инструментами (далее – Декларация о рисках ПФИ), — предоставить Вам информацию об основных рисках, связанных с производными финансовыми инструментами.</w:t>
      </w:r>
    </w:p>
    <w:p w:rsidR="00975D4B" w:rsidRPr="00BB748C" w:rsidRDefault="00975D4B" w:rsidP="00975D4B">
      <w:pPr>
        <w:spacing w:line="240" w:lineRule="auto"/>
        <w:ind w:firstLine="375"/>
      </w:pPr>
      <w:r w:rsidRPr="00BB748C">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BB748C">
        <w:t>бо́льшим</w:t>
      </w:r>
      <w:proofErr w:type="spellEnd"/>
      <w:proofErr w:type="gramEnd"/>
      <w:r w:rsidRPr="00BB748C">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BB748C">
        <w:t>своп-контрактов</w:t>
      </w:r>
      <w:proofErr w:type="gramEnd"/>
      <w:r w:rsidRPr="00BB748C">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w:t>
      </w:r>
      <w:r w:rsidRPr="00BB748C">
        <w:lastRenderedPageBreak/>
        <w:t>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975D4B" w:rsidRPr="00BB748C" w:rsidRDefault="00975D4B" w:rsidP="00975D4B">
      <w:pPr>
        <w:spacing w:line="240" w:lineRule="auto"/>
        <w:ind w:firstLine="375"/>
      </w:pPr>
      <w:r w:rsidRPr="00BB748C">
        <w:t xml:space="preserve">Настоящая Декларация о рисках ПФИ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BB748C">
        <w:t>спот-рынке</w:t>
      </w:r>
      <w:proofErr w:type="gramEnd"/>
      <w:r w:rsidRPr="00BB748C">
        <w:t>.</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I</w:t>
      </w:r>
      <w:r w:rsidRPr="00BB748C">
        <w:rPr>
          <w:b/>
        </w:rPr>
        <w:t>. Рыночный риск</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Помимо общего рыночного (ценового) риска, который несет Клиент, совершающий операции на рынке ценных бумаг, Вы в случае заключения Ва</w:t>
      </w:r>
      <w:r w:rsidR="00EC30C7" w:rsidRPr="00BB748C">
        <w:t>шим Управляющим</w:t>
      </w:r>
      <w:r w:rsidRPr="00BB748C">
        <w:t xml:space="preserve">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975D4B" w:rsidRPr="00BB748C" w:rsidRDefault="00975D4B" w:rsidP="00975D4B">
      <w:pPr>
        <w:spacing w:line="240" w:lineRule="auto"/>
        <w:ind w:firstLine="375"/>
      </w:pPr>
      <w:r w:rsidRPr="00BB748C">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975D4B" w:rsidRPr="00BB748C" w:rsidRDefault="00975D4B" w:rsidP="00975D4B">
      <w:pPr>
        <w:spacing w:line="240" w:lineRule="auto"/>
        <w:ind w:firstLine="375"/>
      </w:pPr>
      <w:r w:rsidRPr="00BB748C">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975D4B" w:rsidRPr="00BB748C" w:rsidRDefault="00975D4B" w:rsidP="00975D4B">
      <w:pPr>
        <w:spacing w:line="240" w:lineRule="auto"/>
        <w:ind w:firstLine="375"/>
      </w:pPr>
      <w:r w:rsidRPr="00BB748C">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w:t>
      </w:r>
      <w:r w:rsidR="00EC30C7" w:rsidRPr="00BB748C">
        <w:t>ашим Управляющим</w:t>
      </w:r>
      <w:r w:rsidRPr="00BB748C">
        <w:t xml:space="preserve"> сделок с ним, будет ограничено. Размер обеспечения изменяется в порядке, предусмотренном договором (спецификацией контракта), и в результате В</w:t>
      </w:r>
      <w:r w:rsidR="00EC30C7" w:rsidRPr="00BB748C">
        <w:t>аш Управляющий</w:t>
      </w:r>
      <w:r w:rsidRPr="00BB748C">
        <w:t xml:space="preserve"> мож</w:t>
      </w:r>
      <w:r w:rsidR="00EC30C7" w:rsidRPr="00BB748C">
        <w:t>ете быть ограничен</w:t>
      </w:r>
      <w:r w:rsidRPr="00BB748C">
        <w:t xml:space="preserve"> в возможности распоряжаться Вашим имуществом в большей степени, чем до заключения договора.</w:t>
      </w:r>
    </w:p>
    <w:p w:rsidR="00EC30C7" w:rsidRPr="00BB748C" w:rsidRDefault="00EC30C7" w:rsidP="00EC30C7">
      <w:pPr>
        <w:spacing w:line="240" w:lineRule="auto"/>
        <w:ind w:firstLine="375"/>
      </w:pPr>
      <w:r w:rsidRPr="00BB748C">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Вашего Управляющего брокер в этом случае вправе без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75D4B" w:rsidRPr="00BB748C" w:rsidRDefault="00975D4B" w:rsidP="00975D4B">
      <w:pPr>
        <w:spacing w:line="240" w:lineRule="auto"/>
        <w:ind w:firstLine="375"/>
      </w:pPr>
      <w:r w:rsidRPr="00BB748C">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BB748C">
        <w:t>направление</w:t>
      </w:r>
      <w:proofErr w:type="gramEnd"/>
      <w:r w:rsidRPr="00BB748C">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975D4B" w:rsidRPr="00BB748C" w:rsidRDefault="00975D4B" w:rsidP="00975D4B">
      <w:pPr>
        <w:spacing w:line="240" w:lineRule="auto"/>
        <w:ind w:firstLine="375"/>
      </w:pPr>
    </w:p>
    <w:p w:rsidR="00975D4B" w:rsidRPr="00BB748C" w:rsidRDefault="00975D4B" w:rsidP="00975D4B">
      <w:pPr>
        <w:spacing w:line="240" w:lineRule="auto"/>
        <w:ind w:firstLine="375"/>
        <w:rPr>
          <w:b/>
        </w:rPr>
      </w:pPr>
      <w:r w:rsidRPr="00BB748C">
        <w:rPr>
          <w:b/>
          <w:lang w:val="en-US"/>
        </w:rPr>
        <w:t>II</w:t>
      </w:r>
      <w:r w:rsidRPr="00BB748C">
        <w:rPr>
          <w:b/>
        </w:rPr>
        <w:t xml:space="preserve">. Риск ликвидности </w:t>
      </w:r>
    </w:p>
    <w:p w:rsidR="00975D4B" w:rsidRPr="00BB748C" w:rsidRDefault="00975D4B" w:rsidP="00975D4B">
      <w:pPr>
        <w:spacing w:line="240" w:lineRule="auto"/>
        <w:ind w:firstLine="375"/>
      </w:pPr>
    </w:p>
    <w:p w:rsidR="00975D4B" w:rsidRPr="00BB748C" w:rsidRDefault="00975D4B" w:rsidP="00975D4B">
      <w:pPr>
        <w:spacing w:line="240" w:lineRule="auto"/>
        <w:ind w:firstLine="375"/>
      </w:pPr>
      <w:r w:rsidRPr="00BB748C">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EC30C7" w:rsidRPr="00BB748C" w:rsidRDefault="00EC30C7" w:rsidP="00975D4B">
      <w:pPr>
        <w:spacing w:line="240" w:lineRule="auto"/>
        <w:ind w:firstLine="375"/>
      </w:pPr>
    </w:p>
    <w:p w:rsidR="00975D4B" w:rsidRPr="00BB748C" w:rsidRDefault="00975D4B" w:rsidP="00975D4B">
      <w:pPr>
        <w:spacing w:line="240" w:lineRule="auto"/>
        <w:ind w:firstLine="375"/>
      </w:pPr>
      <w:r w:rsidRPr="00BB748C">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04354B" w:rsidRPr="00BB748C" w:rsidRDefault="0004354B" w:rsidP="00975D4B">
      <w:pPr>
        <w:spacing w:line="240" w:lineRule="auto"/>
        <w:ind w:firstLine="375"/>
      </w:pPr>
    </w:p>
    <w:p w:rsidR="00975D4B" w:rsidRPr="00BB748C" w:rsidRDefault="00975D4B" w:rsidP="00975D4B">
      <w:pPr>
        <w:spacing w:line="240" w:lineRule="auto"/>
        <w:ind w:firstLine="375"/>
      </w:pPr>
    </w:p>
    <w:p w:rsidR="00975D4B" w:rsidRPr="00BB748C" w:rsidRDefault="00975D4B" w:rsidP="00975D4B">
      <w:pPr>
        <w:spacing w:after="100" w:afterAutospacing="1"/>
        <w:jc w:val="center"/>
        <w:rPr>
          <w:b/>
        </w:rPr>
      </w:pPr>
      <w:r w:rsidRPr="00BB748C">
        <w:rPr>
          <w:b/>
        </w:rPr>
        <w:t>Раздел Г. Декларация о рисках, связанных с приобретением иностранных ценных бумаг</w:t>
      </w:r>
    </w:p>
    <w:p w:rsidR="00975D4B" w:rsidRPr="00BB748C" w:rsidRDefault="00975D4B" w:rsidP="00975D4B">
      <w:pPr>
        <w:ind w:firstLine="250"/>
      </w:pPr>
      <w:r w:rsidRPr="00BB748C">
        <w:t xml:space="preserve">Целью настоящей Декларации о рисках, связанных с приобретением иностранных ценных бумаг, является предоставление Клиенту информации о рисках, связанных с приобретением иностранных ценных </w:t>
      </w:r>
      <w:r w:rsidRPr="00BB748C">
        <w:lastRenderedPageBreak/>
        <w:t>бумаг. Иностранные ценные бумаги могут быть приобретены за рубежом или на российском, в том числе организованном, фондовом рынке.</w:t>
      </w:r>
    </w:p>
    <w:p w:rsidR="00975D4B" w:rsidRPr="00BB748C" w:rsidRDefault="00975D4B" w:rsidP="00975D4B">
      <w:pPr>
        <w:ind w:firstLine="250"/>
      </w:pPr>
      <w:r w:rsidRPr="00BB748C">
        <w:t>Операциям с иностранными ценными бумагами присущи общие риски, связанные с операциями на рынке ценных бумаг со следующими особенностями.</w:t>
      </w:r>
    </w:p>
    <w:p w:rsidR="0004354B" w:rsidRPr="00BB748C" w:rsidRDefault="0004354B" w:rsidP="00975D4B">
      <w:pPr>
        <w:ind w:firstLine="250"/>
      </w:pPr>
    </w:p>
    <w:p w:rsidR="0004354B" w:rsidRPr="00BB748C" w:rsidRDefault="0004354B" w:rsidP="00975D4B">
      <w:pPr>
        <w:ind w:firstLine="250"/>
      </w:pPr>
    </w:p>
    <w:p w:rsidR="00975D4B" w:rsidRPr="00BB748C" w:rsidRDefault="00975D4B" w:rsidP="00975D4B">
      <w:pPr>
        <w:ind w:firstLine="250"/>
      </w:pPr>
    </w:p>
    <w:p w:rsidR="00975D4B" w:rsidRPr="00BB748C" w:rsidRDefault="00975D4B" w:rsidP="00975D4B">
      <w:pPr>
        <w:ind w:firstLine="250"/>
        <w:rPr>
          <w:b/>
        </w:rPr>
      </w:pPr>
      <w:r w:rsidRPr="00BB748C">
        <w:rPr>
          <w:b/>
          <w:lang w:val="en-US"/>
        </w:rPr>
        <w:t>I</w:t>
      </w:r>
      <w:r w:rsidRPr="00BB748C">
        <w:rPr>
          <w:b/>
        </w:rPr>
        <w:t>. Системные риски</w:t>
      </w:r>
    </w:p>
    <w:p w:rsidR="00975D4B" w:rsidRPr="00BB748C" w:rsidRDefault="00975D4B" w:rsidP="00975D4B">
      <w:pPr>
        <w:ind w:firstLine="250"/>
        <w:rPr>
          <w:b/>
        </w:rPr>
      </w:pPr>
    </w:p>
    <w:p w:rsidR="00975D4B" w:rsidRPr="00BB748C" w:rsidRDefault="00975D4B" w:rsidP="00975D4B">
      <w:pPr>
        <w:ind w:firstLine="250"/>
      </w:pPr>
      <w:r w:rsidRPr="00BB748C">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BB748C">
        <w:t>развитости финансовой системы страны места нахождения</w:t>
      </w:r>
      <w:proofErr w:type="gramEnd"/>
      <w:r w:rsidRPr="00BB748C">
        <w:t xml:space="preserve"> лица, обязанного по иностранной ценной бумаге.</w:t>
      </w:r>
    </w:p>
    <w:p w:rsidR="00975D4B" w:rsidRPr="00BB748C" w:rsidRDefault="00975D4B" w:rsidP="00975D4B">
      <w:pPr>
        <w:ind w:firstLine="250"/>
      </w:pPr>
      <w:r w:rsidRPr="00BB748C">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BB748C">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975D4B" w:rsidRPr="00BB748C" w:rsidRDefault="00975D4B" w:rsidP="00975D4B">
      <w:pPr>
        <w:ind w:firstLine="250"/>
      </w:pPr>
      <w:r w:rsidRPr="00BB748C">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975D4B" w:rsidRPr="00BB748C" w:rsidRDefault="00975D4B" w:rsidP="00975D4B">
      <w:pPr>
        <w:ind w:firstLine="250"/>
      </w:pPr>
      <w:r w:rsidRPr="00BB748C">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BB748C">
        <w:t>бумаг</w:t>
      </w:r>
      <w:proofErr w:type="gramEnd"/>
      <w:r w:rsidRPr="00BB748C">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975D4B" w:rsidRPr="00BB748C" w:rsidRDefault="00975D4B" w:rsidP="00975D4B">
      <w:pPr>
        <w:ind w:firstLine="250"/>
      </w:pPr>
    </w:p>
    <w:p w:rsidR="00975D4B" w:rsidRPr="00BB748C" w:rsidRDefault="00975D4B" w:rsidP="00975D4B">
      <w:pPr>
        <w:ind w:firstLine="250"/>
        <w:rPr>
          <w:b/>
        </w:rPr>
      </w:pPr>
      <w:r w:rsidRPr="00BB748C">
        <w:rPr>
          <w:b/>
          <w:lang w:val="en-US"/>
        </w:rPr>
        <w:t>II</w:t>
      </w:r>
      <w:r w:rsidRPr="00BB748C">
        <w:rPr>
          <w:b/>
        </w:rPr>
        <w:t>. Правовые риски</w:t>
      </w:r>
    </w:p>
    <w:p w:rsidR="00975D4B" w:rsidRPr="00BB748C" w:rsidRDefault="00975D4B" w:rsidP="00975D4B">
      <w:pPr>
        <w:ind w:firstLine="250"/>
        <w:rPr>
          <w:b/>
        </w:rPr>
      </w:pPr>
    </w:p>
    <w:p w:rsidR="00975D4B" w:rsidRPr="00BB748C" w:rsidRDefault="00975D4B" w:rsidP="00975D4B">
      <w:pPr>
        <w:ind w:firstLine="250"/>
      </w:pPr>
      <w:r w:rsidRPr="00BB748C">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975D4B" w:rsidRDefault="00975D4B" w:rsidP="00975D4B">
      <w:pPr>
        <w:ind w:firstLine="250"/>
      </w:pPr>
      <w:r w:rsidRPr="00BB748C">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BB748C">
        <w:t>от</w:t>
      </w:r>
      <w:proofErr w:type="gramEnd"/>
      <w:r w:rsidRPr="00BB748C">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B748C" w:rsidRPr="00BB748C" w:rsidRDefault="00BB748C" w:rsidP="00975D4B">
      <w:pPr>
        <w:ind w:firstLine="250"/>
      </w:pPr>
    </w:p>
    <w:p w:rsidR="00975D4B" w:rsidRPr="00BB748C" w:rsidRDefault="00975D4B" w:rsidP="00975D4B">
      <w:pPr>
        <w:ind w:firstLine="250"/>
      </w:pPr>
    </w:p>
    <w:p w:rsidR="00975D4B" w:rsidRPr="00BB748C" w:rsidRDefault="00975D4B" w:rsidP="00975D4B">
      <w:pPr>
        <w:ind w:firstLine="250"/>
        <w:rPr>
          <w:b/>
        </w:rPr>
      </w:pPr>
      <w:r w:rsidRPr="00BB748C">
        <w:rPr>
          <w:b/>
          <w:lang w:val="en-US"/>
        </w:rPr>
        <w:lastRenderedPageBreak/>
        <w:t>III</w:t>
      </w:r>
      <w:r w:rsidRPr="00BB748C">
        <w:rPr>
          <w:b/>
        </w:rPr>
        <w:t>. Раскрытие информации</w:t>
      </w:r>
    </w:p>
    <w:p w:rsidR="00975D4B" w:rsidRPr="00BB748C" w:rsidRDefault="00975D4B" w:rsidP="00975D4B">
      <w:pPr>
        <w:ind w:firstLine="250"/>
      </w:pPr>
    </w:p>
    <w:p w:rsidR="00975D4B" w:rsidRPr="00BB748C" w:rsidRDefault="00975D4B" w:rsidP="00975D4B">
      <w:pPr>
        <w:ind w:firstLine="250"/>
      </w:pPr>
      <w:r w:rsidRPr="00BB748C">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5D4B" w:rsidRPr="00BB748C" w:rsidRDefault="00975D4B" w:rsidP="00975D4B">
      <w:pPr>
        <w:ind w:firstLine="250"/>
      </w:pPr>
      <w:r w:rsidRPr="00BB748C">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975D4B" w:rsidRPr="00BB748C" w:rsidRDefault="00975D4B" w:rsidP="00975D4B">
      <w:pPr>
        <w:ind w:firstLine="250"/>
      </w:pPr>
    </w:p>
    <w:p w:rsidR="00975D4B" w:rsidRPr="00BB748C" w:rsidRDefault="00975D4B" w:rsidP="00975D4B">
      <w:pPr>
        <w:spacing w:after="100" w:afterAutospacing="1"/>
        <w:jc w:val="center"/>
        <w:rPr>
          <w:b/>
        </w:rPr>
      </w:pPr>
      <w:r w:rsidRPr="00BB748C">
        <w:rPr>
          <w:b/>
        </w:rPr>
        <w:t>Раздел Д. 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975D4B" w:rsidRPr="00BB748C" w:rsidRDefault="00975D4B" w:rsidP="00975D4B">
      <w:pPr>
        <w:spacing w:after="100" w:afterAutospacing="1"/>
        <w:ind w:firstLine="250"/>
      </w:pPr>
      <w:proofErr w:type="gramStart"/>
      <w:r w:rsidRPr="00BB748C">
        <w:t>Цель настоящей Декларации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BB748C">
        <w:rPr>
          <w:b/>
        </w:rPr>
        <w:t xml:space="preserve"> -</w:t>
      </w:r>
      <w:r w:rsidRPr="00BB748C">
        <w:t xml:space="preserve">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w:t>
      </w:r>
      <w:proofErr w:type="gramEnd"/>
      <w:r w:rsidRPr="00BB748C">
        <w:t xml:space="preserve">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975D4B" w:rsidRPr="00BB748C" w:rsidRDefault="00975D4B" w:rsidP="00975D4B">
      <w:pPr>
        <w:pStyle w:val="a8"/>
        <w:numPr>
          <w:ilvl w:val="0"/>
          <w:numId w:val="39"/>
        </w:numPr>
        <w:spacing w:after="100" w:afterAutospacing="1"/>
        <w:ind w:left="284" w:firstLine="0"/>
        <w:jc w:val="left"/>
        <w:rPr>
          <w:b/>
        </w:rPr>
      </w:pPr>
      <w:r w:rsidRPr="00BB748C">
        <w:rPr>
          <w:b/>
        </w:rPr>
        <w:t>Риски, связанные с производными финансовыми инструментами</w:t>
      </w:r>
    </w:p>
    <w:p w:rsidR="00975D4B" w:rsidRPr="00BB748C" w:rsidRDefault="00975D4B" w:rsidP="00975D4B">
      <w:pPr>
        <w:ind w:firstLine="250"/>
      </w:pPr>
      <w:r w:rsidRPr="00BB748C">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BB748C">
        <w:t>колл</w:t>
      </w:r>
      <w:proofErr w:type="spellEnd"/>
      <w:r w:rsidRPr="00BB748C">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975D4B" w:rsidRPr="00BB748C" w:rsidRDefault="00975D4B" w:rsidP="00975D4B">
      <w:pPr>
        <w:ind w:firstLine="250"/>
      </w:pPr>
      <w:r w:rsidRPr="00BB748C">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975D4B" w:rsidRPr="00BB748C" w:rsidRDefault="00975D4B" w:rsidP="00975D4B">
      <w:pPr>
        <w:ind w:firstLine="250"/>
      </w:pPr>
    </w:p>
    <w:p w:rsidR="00975D4B" w:rsidRPr="00BB748C" w:rsidRDefault="00975D4B" w:rsidP="00975D4B">
      <w:pPr>
        <w:pStyle w:val="a8"/>
        <w:numPr>
          <w:ilvl w:val="0"/>
          <w:numId w:val="40"/>
        </w:numPr>
        <w:rPr>
          <w:b/>
        </w:rPr>
      </w:pPr>
      <w:r w:rsidRPr="00BB748C">
        <w:rPr>
          <w:b/>
        </w:rPr>
        <w:t>Рыночный (ценовой) риск</w:t>
      </w:r>
    </w:p>
    <w:p w:rsidR="00975D4B" w:rsidRPr="00BB748C" w:rsidRDefault="00975D4B" w:rsidP="00975D4B">
      <w:pPr>
        <w:pStyle w:val="a8"/>
        <w:ind w:left="981" w:firstLine="0"/>
        <w:rPr>
          <w:b/>
        </w:rPr>
      </w:pPr>
    </w:p>
    <w:p w:rsidR="00975D4B" w:rsidRPr="00BB748C" w:rsidRDefault="00975D4B" w:rsidP="00975D4B">
      <w:pPr>
        <w:ind w:firstLine="250"/>
      </w:pPr>
      <w:proofErr w:type="gramStart"/>
      <w:r w:rsidRPr="00BB748C">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975D4B" w:rsidRPr="00BB748C" w:rsidRDefault="00975D4B" w:rsidP="00975D4B">
      <w:pPr>
        <w:ind w:firstLine="250"/>
      </w:pPr>
      <w:r w:rsidRPr="00BB748C">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975D4B" w:rsidRPr="00BB748C" w:rsidRDefault="00975D4B" w:rsidP="00975D4B">
      <w:pPr>
        <w:ind w:firstLine="250"/>
      </w:pPr>
    </w:p>
    <w:p w:rsidR="00975D4B" w:rsidRPr="00BB748C" w:rsidRDefault="00975D4B" w:rsidP="00975D4B">
      <w:pPr>
        <w:pStyle w:val="a8"/>
        <w:numPr>
          <w:ilvl w:val="0"/>
          <w:numId w:val="40"/>
        </w:numPr>
        <w:rPr>
          <w:b/>
        </w:rPr>
      </w:pPr>
      <w:r w:rsidRPr="00BB748C">
        <w:rPr>
          <w:b/>
        </w:rPr>
        <w:t>Риск ликвидности</w:t>
      </w:r>
    </w:p>
    <w:p w:rsidR="00975D4B" w:rsidRPr="00BB748C" w:rsidRDefault="00975D4B" w:rsidP="00975D4B">
      <w:pPr>
        <w:pStyle w:val="a8"/>
        <w:ind w:left="981" w:firstLine="0"/>
        <w:rPr>
          <w:b/>
        </w:rPr>
      </w:pPr>
      <w:r w:rsidRPr="00BB748C">
        <w:rPr>
          <w:b/>
        </w:rPr>
        <w:t xml:space="preserve"> </w:t>
      </w:r>
    </w:p>
    <w:p w:rsidR="00975D4B" w:rsidRPr="00BB748C" w:rsidRDefault="00975D4B" w:rsidP="00975D4B">
      <w:pPr>
        <w:ind w:firstLine="250"/>
      </w:pPr>
      <w:r w:rsidRPr="00BB748C">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975D4B" w:rsidRPr="00BB748C" w:rsidRDefault="00975D4B" w:rsidP="00975D4B">
      <w:pPr>
        <w:ind w:firstLine="250"/>
      </w:pPr>
      <w:r w:rsidRPr="00BB748C">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975D4B" w:rsidRPr="00BB748C" w:rsidRDefault="00975D4B" w:rsidP="00975D4B">
      <w:pPr>
        <w:ind w:firstLine="250"/>
      </w:pPr>
      <w:r w:rsidRPr="00BB748C">
        <w:t xml:space="preserve">При этом трудности с закрытием позиций  и потери в цене могут привести к увеличению убытков по сравнению с обычными сделками. </w:t>
      </w:r>
    </w:p>
    <w:p w:rsidR="00975D4B" w:rsidRPr="00BB748C" w:rsidRDefault="00975D4B" w:rsidP="00975D4B">
      <w:pPr>
        <w:ind w:firstLine="250"/>
      </w:pPr>
      <w:r w:rsidRPr="00BB748C">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975D4B" w:rsidRPr="00BB748C" w:rsidRDefault="00975D4B" w:rsidP="00975D4B">
      <w:pPr>
        <w:ind w:firstLine="250"/>
      </w:pPr>
    </w:p>
    <w:p w:rsidR="00975D4B" w:rsidRPr="00BB748C" w:rsidRDefault="00975D4B" w:rsidP="00975D4B">
      <w:pPr>
        <w:pStyle w:val="a8"/>
        <w:numPr>
          <w:ilvl w:val="0"/>
          <w:numId w:val="39"/>
        </w:numPr>
        <w:ind w:left="851" w:hanging="567"/>
        <w:jc w:val="left"/>
        <w:rPr>
          <w:b/>
        </w:rPr>
      </w:pPr>
      <w:r w:rsidRPr="00BB748C">
        <w:rPr>
          <w:b/>
        </w:rPr>
        <w:t xml:space="preserve">Ограничение распоряжения средствами, являющимися обеспечением  </w:t>
      </w:r>
    </w:p>
    <w:p w:rsidR="00975D4B" w:rsidRPr="00BB748C" w:rsidRDefault="00975D4B" w:rsidP="00975D4B">
      <w:pPr>
        <w:pStyle w:val="a8"/>
        <w:ind w:left="927" w:firstLine="0"/>
        <w:rPr>
          <w:b/>
        </w:rPr>
      </w:pPr>
    </w:p>
    <w:p w:rsidR="00975D4B" w:rsidRPr="00BB748C" w:rsidRDefault="00975D4B" w:rsidP="00975D4B">
      <w:pPr>
        <w:ind w:firstLine="250"/>
      </w:pPr>
      <w:r w:rsidRPr="00BB748C">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975D4B" w:rsidRPr="00BB748C" w:rsidRDefault="00975D4B" w:rsidP="00975D4B">
      <w:pPr>
        <w:ind w:firstLine="250"/>
      </w:pPr>
    </w:p>
    <w:p w:rsidR="00975D4B" w:rsidRPr="00BB748C" w:rsidRDefault="00975D4B" w:rsidP="00975D4B">
      <w:pPr>
        <w:pStyle w:val="a8"/>
        <w:numPr>
          <w:ilvl w:val="0"/>
          <w:numId w:val="39"/>
        </w:numPr>
        <w:ind w:left="851" w:hanging="567"/>
        <w:jc w:val="left"/>
        <w:rPr>
          <w:b/>
        </w:rPr>
      </w:pPr>
      <w:r w:rsidRPr="00BB748C">
        <w:rPr>
          <w:b/>
        </w:rPr>
        <w:t>Риск принудительного закрытия позиции</w:t>
      </w:r>
    </w:p>
    <w:p w:rsidR="00975D4B" w:rsidRPr="00BB748C" w:rsidRDefault="00975D4B" w:rsidP="00975D4B">
      <w:pPr>
        <w:pStyle w:val="a8"/>
        <w:ind w:left="1287" w:firstLine="0"/>
        <w:rPr>
          <w:b/>
        </w:rPr>
      </w:pPr>
    </w:p>
    <w:p w:rsidR="00975D4B" w:rsidRPr="00BB748C" w:rsidRDefault="00975D4B" w:rsidP="00975D4B">
      <w:pPr>
        <w:ind w:firstLine="250"/>
      </w:pPr>
      <w:r w:rsidRPr="00BB748C">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w:t>
      </w:r>
      <w:r w:rsidRPr="00BB748C">
        <w:lastRenderedPageBreak/>
        <w:t>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75D4B" w:rsidRPr="00BB748C" w:rsidRDefault="00975D4B" w:rsidP="00975D4B">
      <w:pPr>
        <w:ind w:firstLine="250"/>
      </w:pPr>
      <w:r w:rsidRPr="00BB748C">
        <w:t xml:space="preserve">Принудительное закрытие позиции направлено на управление рисками. Вы можете понести значительные </w:t>
      </w:r>
      <w:proofErr w:type="gramStart"/>
      <w:r w:rsidRPr="00BB748C">
        <w:t>убытки</w:t>
      </w:r>
      <w:proofErr w:type="gramEnd"/>
      <w:r w:rsidRPr="00BB748C">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4354B" w:rsidRPr="00BB748C" w:rsidRDefault="0004354B" w:rsidP="00975D4B">
      <w:pPr>
        <w:ind w:firstLine="250"/>
      </w:pPr>
    </w:p>
    <w:p w:rsidR="00975D4B" w:rsidRPr="00BB748C" w:rsidRDefault="00975D4B" w:rsidP="00975D4B">
      <w:pPr>
        <w:ind w:firstLine="250"/>
        <w:jc w:val="center"/>
        <w:rPr>
          <w:b/>
        </w:rPr>
      </w:pPr>
    </w:p>
    <w:p w:rsidR="00975D4B" w:rsidRPr="00BB748C" w:rsidRDefault="00975D4B" w:rsidP="00975D4B">
      <w:pPr>
        <w:pStyle w:val="a8"/>
        <w:numPr>
          <w:ilvl w:val="0"/>
          <w:numId w:val="39"/>
        </w:numPr>
        <w:ind w:left="993"/>
        <w:jc w:val="left"/>
        <w:rPr>
          <w:b/>
        </w:rPr>
      </w:pPr>
      <w:r w:rsidRPr="00BB748C">
        <w:rPr>
          <w:b/>
        </w:rPr>
        <w:t>Риски, обусловленные иностранным происхождением базисного актива</w:t>
      </w:r>
    </w:p>
    <w:p w:rsidR="00975D4B" w:rsidRPr="00BB748C" w:rsidRDefault="00975D4B" w:rsidP="00975D4B">
      <w:pPr>
        <w:spacing w:after="100" w:afterAutospacing="1"/>
        <w:ind w:firstLine="250"/>
        <w:rPr>
          <w:b/>
        </w:rPr>
      </w:pPr>
    </w:p>
    <w:p w:rsidR="00975D4B" w:rsidRPr="00BB748C" w:rsidRDefault="00975D4B" w:rsidP="00975D4B">
      <w:pPr>
        <w:pStyle w:val="a8"/>
        <w:numPr>
          <w:ilvl w:val="0"/>
          <w:numId w:val="41"/>
        </w:numPr>
        <w:spacing w:after="100" w:afterAutospacing="1"/>
        <w:rPr>
          <w:b/>
        </w:rPr>
      </w:pPr>
      <w:r w:rsidRPr="00BB748C">
        <w:rPr>
          <w:b/>
        </w:rPr>
        <w:t>Системные риски</w:t>
      </w:r>
    </w:p>
    <w:p w:rsidR="00975D4B" w:rsidRPr="00BB748C" w:rsidRDefault="00975D4B" w:rsidP="00975D4B">
      <w:pPr>
        <w:spacing w:after="100" w:afterAutospacing="1"/>
        <w:ind w:firstLine="250"/>
      </w:pPr>
      <w:r w:rsidRPr="00BB748C">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BB748C">
        <w:t>развитости финансовой системы страны места нахождения</w:t>
      </w:r>
      <w:proofErr w:type="gramEnd"/>
      <w:r w:rsidRPr="00BB748C">
        <w:t xml:space="preserve"> лица, обязанного по иностранным ценным бумагам.</w:t>
      </w:r>
    </w:p>
    <w:p w:rsidR="00975D4B" w:rsidRPr="00BB748C" w:rsidRDefault="00975D4B" w:rsidP="00975D4B">
      <w:pPr>
        <w:ind w:firstLine="250"/>
      </w:pPr>
      <w:r w:rsidRPr="00BB748C">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BB748C">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975D4B" w:rsidRPr="00BB748C" w:rsidRDefault="00975D4B" w:rsidP="00975D4B">
      <w:pPr>
        <w:ind w:firstLine="250"/>
      </w:pPr>
      <w:r w:rsidRPr="00BB748C">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975D4B" w:rsidRPr="00BB748C" w:rsidRDefault="00975D4B" w:rsidP="00975D4B">
      <w:pPr>
        <w:ind w:firstLine="250"/>
      </w:pPr>
    </w:p>
    <w:p w:rsidR="00975D4B" w:rsidRPr="00BB748C" w:rsidRDefault="00975D4B" w:rsidP="00975D4B">
      <w:pPr>
        <w:pStyle w:val="a8"/>
        <w:numPr>
          <w:ilvl w:val="0"/>
          <w:numId w:val="41"/>
        </w:numPr>
        <w:rPr>
          <w:b/>
        </w:rPr>
      </w:pPr>
      <w:r w:rsidRPr="00BB748C">
        <w:rPr>
          <w:b/>
        </w:rPr>
        <w:t>Правовые риски</w:t>
      </w:r>
    </w:p>
    <w:p w:rsidR="00975D4B" w:rsidRPr="00BB748C" w:rsidRDefault="00975D4B" w:rsidP="00975D4B">
      <w:pPr>
        <w:pStyle w:val="a8"/>
        <w:ind w:left="621" w:firstLine="0"/>
        <w:rPr>
          <w:b/>
        </w:rPr>
      </w:pPr>
    </w:p>
    <w:p w:rsidR="00975D4B" w:rsidRPr="00BB748C" w:rsidRDefault="00975D4B" w:rsidP="00975D4B">
      <w:pPr>
        <w:ind w:firstLine="250"/>
      </w:pPr>
      <w:r w:rsidRPr="00BB748C">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975D4B" w:rsidRPr="00BB748C" w:rsidRDefault="00975D4B" w:rsidP="00975D4B">
      <w:pPr>
        <w:ind w:firstLine="250"/>
      </w:pPr>
      <w:r w:rsidRPr="00BB748C">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BB748C">
        <w:t>от</w:t>
      </w:r>
      <w:proofErr w:type="gramEnd"/>
      <w:r w:rsidRPr="00BB748C">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975D4B" w:rsidRPr="00BB748C" w:rsidRDefault="00975D4B" w:rsidP="00975D4B">
      <w:pPr>
        <w:ind w:firstLine="250"/>
      </w:pPr>
    </w:p>
    <w:p w:rsidR="00975D4B" w:rsidRPr="00BB748C" w:rsidRDefault="00975D4B" w:rsidP="00975D4B">
      <w:pPr>
        <w:ind w:firstLine="250"/>
        <w:rPr>
          <w:b/>
        </w:rPr>
      </w:pPr>
      <w:r w:rsidRPr="00BB748C">
        <w:rPr>
          <w:b/>
          <w:lang w:val="en-US"/>
        </w:rPr>
        <w:t>III</w:t>
      </w:r>
      <w:r w:rsidRPr="00BB748C">
        <w:rPr>
          <w:b/>
        </w:rPr>
        <w:t>. Раскрытие информации</w:t>
      </w:r>
    </w:p>
    <w:p w:rsidR="00975D4B" w:rsidRPr="00BB748C" w:rsidRDefault="00975D4B" w:rsidP="00975D4B">
      <w:pPr>
        <w:ind w:firstLine="250"/>
        <w:rPr>
          <w:b/>
        </w:rPr>
      </w:pPr>
    </w:p>
    <w:p w:rsidR="00975D4B" w:rsidRPr="00BB748C" w:rsidRDefault="00975D4B" w:rsidP="00975D4B">
      <w:pPr>
        <w:ind w:firstLine="250"/>
      </w:pPr>
      <w:r w:rsidRPr="00BB748C">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5D4B" w:rsidRPr="00BB748C" w:rsidRDefault="00975D4B" w:rsidP="00975D4B">
      <w:pPr>
        <w:ind w:firstLine="250"/>
      </w:pPr>
      <w:r w:rsidRPr="00BB748C">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975D4B" w:rsidRPr="00BB748C" w:rsidRDefault="00975D4B" w:rsidP="00975D4B">
      <w:pPr>
        <w:rPr>
          <w:szCs w:val="22"/>
        </w:rPr>
      </w:pPr>
    </w:p>
    <w:p w:rsidR="00975D4B" w:rsidRPr="00BB748C" w:rsidRDefault="00975D4B" w:rsidP="00975D4B">
      <w:pPr>
        <w:jc w:val="center"/>
        <w:rPr>
          <w:b/>
          <w:szCs w:val="22"/>
        </w:rPr>
      </w:pPr>
      <w:r w:rsidRPr="00BB748C">
        <w:rPr>
          <w:b/>
          <w:szCs w:val="22"/>
        </w:rPr>
        <w:t>Раздел Е. Заключительные положения</w:t>
      </w:r>
    </w:p>
    <w:p w:rsidR="00975D4B" w:rsidRPr="00BB748C" w:rsidRDefault="00975D4B" w:rsidP="00975D4B">
      <w:pPr>
        <w:rPr>
          <w:szCs w:val="22"/>
        </w:rPr>
      </w:pPr>
    </w:p>
    <w:p w:rsidR="00BF78A6" w:rsidRPr="00BB748C" w:rsidRDefault="00BF78A6" w:rsidP="00BF78A6">
      <w:pPr>
        <w:rPr>
          <w:szCs w:val="22"/>
        </w:rPr>
      </w:pPr>
      <w:r w:rsidRPr="00BB748C">
        <w:rPr>
          <w:szCs w:val="22"/>
        </w:rPr>
        <w:t xml:space="preserve">Компания информирует Клиента о рисках, связанных с использованием клиринговых счетов и иных счетов, открытых Компанией для учета имущества и/или обязательств нескольких Учредителей управления. </w:t>
      </w:r>
      <w:proofErr w:type="gramStart"/>
      <w:r w:rsidRPr="00BB748C">
        <w:rPr>
          <w:szCs w:val="22"/>
        </w:rPr>
        <w:t>Отсутствие отдельного учета имущества Учредителя управления, предоставленного в качестве обеспечения, и  обязательств Компании как участника клиринга, возникших из договоров, заключенных за счет Учредителя управления (отсутствие отдельного клирингового счета) или отдельного иного счета – счета открытого Компанией как Управляющим в кредитной организации для учета денежных средств Учредителя управления, переданных им по Договору для совершения сделок с ценными бумагами и (или) заключения договоров</w:t>
      </w:r>
      <w:proofErr w:type="gramEnd"/>
      <w:r w:rsidRPr="00BB748C">
        <w:rPr>
          <w:szCs w:val="22"/>
        </w:rPr>
        <w:t xml:space="preserve">, являющихся производными финансовыми инструментами, а также денежных средств, полученных Управляющим по таким сделкам и (или) таким договорам, которые совершены (заключены) Управляющим на основании договора с Учредителем управления, несет риски, в частности, риск вовлечения имущества Учредителя управления в расчеты по обязательствам других Учредителей управления. Такой риск может быть обусловлен  недостаточностью имущества других Учредителей управления для расчета по их обязательствам или операционными ошибками. </w:t>
      </w:r>
    </w:p>
    <w:p w:rsidR="00BA3C80" w:rsidRPr="00BB748C" w:rsidRDefault="00BA3C80" w:rsidP="00583943">
      <w:r w:rsidRPr="00BB748C">
        <w:rPr>
          <w:szCs w:val="22"/>
        </w:rPr>
        <w:t xml:space="preserve">Компания также информирует Клиента о том, что </w:t>
      </w:r>
      <w:r w:rsidRPr="00BB748C">
        <w:t xml:space="preserve">доходность по договорам доверительного управления не определяется доходностью таких договоров, основанной на показателях доходности в прошлом; об отсутствии гарантирования получения дохода по договору доверительного управления за исключением случаев, когда доходность определена на момент заключения соответствующего договора; </w:t>
      </w:r>
      <w:r w:rsidR="00583943" w:rsidRPr="00BB748C">
        <w:t xml:space="preserve">о том, что </w:t>
      </w:r>
      <w:r w:rsidRPr="00BB748C">
        <w:t>денежные средства, передаваемые по договору доверительного управления, не подлежат страхованию в соответствии с Федеральным законом от 23 декабря 2003 года N 177-ФЗ "О страховании вкладов физических лиц в банках Российской Федерации"</w:t>
      </w:r>
      <w:r w:rsidR="00583943" w:rsidRPr="00BB748C">
        <w:t>.</w:t>
      </w:r>
    </w:p>
    <w:p w:rsidR="00BF78A6" w:rsidRPr="00BB748C" w:rsidRDefault="00BF78A6" w:rsidP="00BF78A6">
      <w:pPr>
        <w:rPr>
          <w:szCs w:val="22"/>
        </w:rPr>
      </w:pPr>
      <w:r w:rsidRPr="00BB748C">
        <w:rPr>
          <w:szCs w:val="22"/>
        </w:rPr>
        <w:t xml:space="preserve">Компания информирует Клиента о возможности существования (возникновения) рисков, связанных с конфликтом интересов. </w:t>
      </w:r>
      <w:proofErr w:type="gramStart"/>
      <w:r w:rsidRPr="00BB748C">
        <w:rPr>
          <w:szCs w:val="22"/>
        </w:rPr>
        <w:t xml:space="preserve">Конфликт интересов при осуществлении предпринимательской деятельности, профессиональной деятельности на рынке ценных бумаг </w:t>
      </w:r>
      <w:r w:rsidRPr="00BB748C">
        <w:rPr>
          <w:sz w:val="24"/>
        </w:rPr>
        <w:t xml:space="preserve">– </w:t>
      </w:r>
      <w:r w:rsidRPr="00BB748C">
        <w:rPr>
          <w:szCs w:val="22"/>
        </w:rPr>
        <w:t xml:space="preserve">противоречие между имущественными и иными интересами Управляющего в качестве </w:t>
      </w:r>
      <w:proofErr w:type="spellStart"/>
      <w:r w:rsidRPr="00BB748C">
        <w:rPr>
          <w:szCs w:val="22"/>
        </w:rPr>
        <w:t>некредитной</w:t>
      </w:r>
      <w:proofErr w:type="spellEnd"/>
      <w:r w:rsidRPr="00BB748C">
        <w:rPr>
          <w:szCs w:val="22"/>
        </w:rPr>
        <w:t xml:space="preserve"> организации и профессионального участника рынка ценных бумаг и/или его сотрудников, и Клиента, в результате которого действия/бездействие Компании и/или его сотрудников причиняют убытки Клиенту и/или влекут иные неблагоприятные последствия для Клиента. </w:t>
      </w:r>
      <w:proofErr w:type="gramEnd"/>
    </w:p>
    <w:p w:rsidR="00BF78A6" w:rsidRPr="00BB748C" w:rsidRDefault="00BF78A6" w:rsidP="00BF78A6">
      <w:pPr>
        <w:rPr>
          <w:szCs w:val="22"/>
        </w:rPr>
      </w:pPr>
      <w:r w:rsidRPr="00BB748C">
        <w:rPr>
          <w:szCs w:val="22"/>
        </w:rPr>
        <w:lastRenderedPageBreak/>
        <w:t xml:space="preserve">Управляющий настоящим информирует, что вышеупомянутый конфликт интересов между Управляющим и Учредителем управления может возникнуть в результате осуществления следующих действий со стороны Управляющего: </w:t>
      </w:r>
    </w:p>
    <w:p w:rsidR="00BF78A6" w:rsidRPr="00BB748C" w:rsidRDefault="00BF78A6" w:rsidP="00BF78A6">
      <w:pPr>
        <w:rPr>
          <w:szCs w:val="22"/>
        </w:rPr>
      </w:pPr>
      <w:r w:rsidRPr="00BB748C">
        <w:rPr>
          <w:szCs w:val="22"/>
        </w:rPr>
        <w:t>- осуществление операций (сделок) на рынке ценных бумаг и (или) операций с производными финансовыми инструментами в рамках Договора;</w:t>
      </w:r>
    </w:p>
    <w:p w:rsidR="00BF78A6" w:rsidRPr="00BB748C" w:rsidRDefault="00BF78A6" w:rsidP="00BF78A6">
      <w:pPr>
        <w:rPr>
          <w:szCs w:val="22"/>
        </w:rPr>
      </w:pPr>
      <w:r w:rsidRPr="00BB748C">
        <w:rPr>
          <w:szCs w:val="22"/>
        </w:rPr>
        <w:t>- осуществление Компанией функций андеррайтера с одной стороны и функций агента по реализации выпущенных ценных бумаг с другой стороны одновременно. </w:t>
      </w:r>
    </w:p>
    <w:p w:rsidR="00BF78A6" w:rsidRPr="00BB748C" w:rsidRDefault="00BF78A6" w:rsidP="00BF78A6">
      <w:pPr>
        <w:rPr>
          <w:szCs w:val="22"/>
        </w:rPr>
      </w:pPr>
      <w:r w:rsidRPr="00BB748C">
        <w:rPr>
          <w:szCs w:val="22"/>
        </w:rPr>
        <w:t>Компания осуществляет мероприятия, направленные на предотвращение конфликта интересов, которые приведены во внутреннем документе Компании (</w:t>
      </w:r>
      <w:proofErr w:type="gramStart"/>
      <w:r w:rsidRPr="00BB748C">
        <w:rPr>
          <w:szCs w:val="22"/>
        </w:rPr>
        <w:t>опубликован</w:t>
      </w:r>
      <w:proofErr w:type="gramEnd"/>
      <w:r w:rsidRPr="00BB748C">
        <w:rPr>
          <w:szCs w:val="22"/>
        </w:rPr>
        <w:t xml:space="preserve"> на WEB-сайте Компании) </w:t>
      </w:r>
      <w:r w:rsidRPr="00BB748C">
        <w:rPr>
          <w:sz w:val="24"/>
        </w:rPr>
        <w:t xml:space="preserve">– </w:t>
      </w:r>
      <w:r w:rsidRPr="00BB748C">
        <w:rPr>
          <w:szCs w:val="22"/>
        </w:rPr>
        <w:t>Перечне мер направленных на предотвращение конфликта интересов при осуществлении профессиональной деятельности на рынке ценных бумаг.</w:t>
      </w:r>
    </w:p>
    <w:p w:rsidR="00BF78A6" w:rsidRPr="00BB748C" w:rsidRDefault="00BF78A6" w:rsidP="00BF78A6">
      <w:pPr>
        <w:rPr>
          <w:szCs w:val="22"/>
        </w:rPr>
      </w:pPr>
      <w:r w:rsidRPr="00BB748C">
        <w:rPr>
          <w:szCs w:val="22"/>
        </w:rPr>
        <w:t>Клиент понимает и признает следующее:</w:t>
      </w:r>
    </w:p>
    <w:p w:rsidR="00BF78A6" w:rsidRPr="00BB748C" w:rsidRDefault="00BF78A6" w:rsidP="00BF78A6">
      <w:pPr>
        <w:pStyle w:val="a8"/>
        <w:numPr>
          <w:ilvl w:val="0"/>
          <w:numId w:val="37"/>
        </w:numPr>
        <w:rPr>
          <w:szCs w:val="22"/>
        </w:rPr>
      </w:pPr>
      <w:r w:rsidRPr="00BB748C">
        <w:rPr>
          <w:szCs w:val="22"/>
        </w:rPr>
        <w:t>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rsidR="00BF78A6" w:rsidRPr="00BB748C" w:rsidRDefault="00BF78A6" w:rsidP="00BF78A6">
      <w:pPr>
        <w:pStyle w:val="a8"/>
        <w:numPr>
          <w:ilvl w:val="0"/>
          <w:numId w:val="37"/>
        </w:numPr>
        <w:rPr>
          <w:szCs w:val="22"/>
        </w:rPr>
      </w:pPr>
      <w:r w:rsidRPr="00BB748C">
        <w:rPr>
          <w:szCs w:val="22"/>
        </w:rPr>
        <w:t xml:space="preserve">допустимый риск, определенный в соответствии с Регламентом, внутренними документами Управляющего, не является величиной, определяющей максимально возможные убытки Учредителя управления. Реальный убыток может, в крайне неблагоприятных случаях, превысить убыток, соответствующий Допустимому риску, установленному в инвестиционном профиле Клиента. </w:t>
      </w:r>
    </w:p>
    <w:p w:rsidR="00BF78A6" w:rsidRPr="00BB748C" w:rsidRDefault="00BF78A6" w:rsidP="00BF78A6">
      <w:pPr>
        <w:pStyle w:val="a8"/>
        <w:numPr>
          <w:ilvl w:val="0"/>
          <w:numId w:val="37"/>
        </w:numPr>
        <w:rPr>
          <w:szCs w:val="22"/>
        </w:rPr>
      </w:pPr>
      <w:r w:rsidRPr="00BB748C">
        <w:rPr>
          <w:szCs w:val="22"/>
        </w:rPr>
        <w:t>подписание Учредителем управления Отчета (одобрение иным способом, предусмотренным Договором), в том числе без проверки Отчета, может рассматриваться в случае спора как одобрение действий Управляющего и согласие с результатами управления ценными бумагами, которые нашли отражение в Отчете.</w:t>
      </w:r>
    </w:p>
    <w:p w:rsidR="00BF78A6" w:rsidRPr="00BB748C" w:rsidRDefault="00BF78A6" w:rsidP="00975D4B">
      <w:pPr>
        <w:rPr>
          <w:szCs w:val="22"/>
        </w:rPr>
      </w:pPr>
    </w:p>
    <w:p w:rsidR="00C812CC" w:rsidRPr="00BB748C" w:rsidRDefault="00C812CC" w:rsidP="00C812CC">
      <w:pPr>
        <w:rPr>
          <w:szCs w:val="22"/>
        </w:rPr>
      </w:pPr>
      <w:r w:rsidRPr="00BB748C">
        <w:rPr>
          <w:szCs w:val="22"/>
        </w:rPr>
        <w:t>Компания не делает никаких заявлений и не дает никаких обещаний и гарантий, что операции, произведенные Управляющим, включая маржинальные и необеспеченные сделки, обязательно приведут к финансовой прибыли или к какому-либо другому желаемому результату, или к убытку.</w:t>
      </w:r>
    </w:p>
    <w:p w:rsidR="00C812CC" w:rsidRPr="00BB748C" w:rsidRDefault="00C812CC" w:rsidP="00C812CC">
      <w:pPr>
        <w:ind w:left="0" w:firstLine="567"/>
        <w:rPr>
          <w:szCs w:val="22"/>
        </w:rPr>
      </w:pPr>
      <w:r w:rsidRPr="00BB748C">
        <w:rPr>
          <w:szCs w:val="22"/>
        </w:rPr>
        <w:t>Учредитель управления настоящим подтверждает, что он проинформирован о рисках, связанных с осуществлением Управляющим сделок на рынке ценных бумаг, срочном рынке и валютном рынке, включая риски, связанные с маржинальными и необеспеченными сделками и принимает на себя все возможные риски, включая (</w:t>
      </w:r>
      <w:proofErr w:type="gramStart"/>
      <w:r w:rsidRPr="00BB748C">
        <w:rPr>
          <w:szCs w:val="22"/>
        </w:rPr>
        <w:t>но</w:t>
      </w:r>
      <w:proofErr w:type="gramEnd"/>
      <w:r w:rsidRPr="00BB748C">
        <w:rPr>
          <w:szCs w:val="22"/>
        </w:rPr>
        <w:t xml:space="preserve"> не ограничиваясь) риски финансовых потерь. </w:t>
      </w:r>
    </w:p>
    <w:p w:rsidR="00C812CC" w:rsidRPr="00BB748C" w:rsidRDefault="00C812CC" w:rsidP="00C812CC">
      <w:pPr>
        <w:ind w:left="0" w:firstLine="567"/>
        <w:rPr>
          <w:szCs w:val="22"/>
        </w:rPr>
      </w:pPr>
      <w:r w:rsidRPr="00BB748C">
        <w:rPr>
          <w:szCs w:val="22"/>
        </w:rPr>
        <w:t xml:space="preserve">Компания информирует Клиента, что существуют и иные классификации риска и его определения, отличные от </w:t>
      </w:r>
      <w:proofErr w:type="gramStart"/>
      <w:r w:rsidRPr="00BB748C">
        <w:rPr>
          <w:szCs w:val="22"/>
        </w:rPr>
        <w:t>приведенных</w:t>
      </w:r>
      <w:proofErr w:type="gramEnd"/>
      <w:r w:rsidRPr="00BB748C">
        <w:rPr>
          <w:szCs w:val="22"/>
        </w:rPr>
        <w:t xml:space="preserve"> в настоящей Декларации.</w:t>
      </w:r>
    </w:p>
    <w:p w:rsidR="00C812CC" w:rsidRPr="00BB748C" w:rsidRDefault="00C812CC" w:rsidP="00C812CC">
      <w:pPr>
        <w:rPr>
          <w:szCs w:val="22"/>
        </w:rPr>
      </w:pPr>
      <w:r w:rsidRPr="00BB748C">
        <w:rPr>
          <w:szCs w:val="22"/>
        </w:rPr>
        <w:t>Компания не в состоянии предусмотреть и предупредить Учредителя управления обо всех возможных рисках. Учредитель управления снимает с Компании всякую ответственность при возникновении этих рисков.</w:t>
      </w:r>
    </w:p>
    <w:p w:rsidR="00975D4B" w:rsidRPr="00BB748C" w:rsidRDefault="00975D4B" w:rsidP="00597B9D">
      <w:pPr>
        <w:ind w:firstLine="375"/>
      </w:pPr>
      <w:r w:rsidRPr="00BB748C">
        <w:t xml:space="preserve">Учитывая </w:t>
      </w:r>
      <w:proofErr w:type="gramStart"/>
      <w:r w:rsidRPr="00BB748C">
        <w:t>вышеизложенное</w:t>
      </w:r>
      <w:proofErr w:type="gramEnd"/>
      <w:r w:rsidRPr="00BB748C">
        <w:t xml:space="preserve">, Компания рекомендует Вам внимательно рассмотреть вопрос о том, являются ли риски, возникающие при проведении операций на финансовом рынке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иных финансовых рынках, а призвана помочь Вам оценить их риски и ответственно подойти к решению вопроса о выборе Вашей инвестиционной стратегии и условий договора с Вашим </w:t>
      </w:r>
      <w:r w:rsidR="00C812CC" w:rsidRPr="00BB748C">
        <w:t>Управляющим</w:t>
      </w:r>
      <w:r w:rsidRPr="00BB748C">
        <w:t>.</w:t>
      </w:r>
    </w:p>
    <w:p w:rsidR="00975D4B" w:rsidRPr="00BB748C" w:rsidRDefault="00975D4B" w:rsidP="00597B9D">
      <w:pPr>
        <w:ind w:firstLine="375"/>
      </w:pPr>
      <w:r w:rsidRPr="00BB748C">
        <w:t xml:space="preserve">Убедитесь, что настоящая Декларация о рисках понятна Вам, и при необходимости получите разъяснения у Вашего </w:t>
      </w:r>
      <w:r w:rsidR="00FB7533" w:rsidRPr="00BB748C">
        <w:t>Управляющего</w:t>
      </w:r>
      <w:r w:rsidRPr="00BB748C">
        <w:t xml:space="preserve"> или консультанта, специализирующегося на соответствующих вопросах.</w:t>
      </w:r>
    </w:p>
    <w:p w:rsidR="00975D4B" w:rsidRPr="00BB748C" w:rsidRDefault="00975D4B" w:rsidP="00975D4B">
      <w:pPr>
        <w:rPr>
          <w:szCs w:val="22"/>
        </w:rPr>
      </w:pPr>
      <w:r w:rsidRPr="00BB748C">
        <w:rPr>
          <w:color w:val="000000"/>
          <w:szCs w:val="22"/>
        </w:rPr>
        <w:lastRenderedPageBreak/>
        <w:t xml:space="preserve">Декларация предоставляется Клиенту в той же форме, в которой с Клиентом заключается Договор (на бумажном носителе, либо в электронном виде путем размещения на </w:t>
      </w:r>
      <w:r w:rsidRPr="00BB748C">
        <w:rPr>
          <w:color w:val="000000"/>
          <w:szCs w:val="22"/>
          <w:lang w:val="en-US"/>
        </w:rPr>
        <w:t>WEB</w:t>
      </w:r>
      <w:r w:rsidRPr="00BB748C">
        <w:rPr>
          <w:color w:val="000000"/>
          <w:szCs w:val="22"/>
        </w:rPr>
        <w:t>-сайте Компании).</w:t>
      </w:r>
    </w:p>
    <w:p w:rsidR="00975D4B" w:rsidRPr="00BB748C" w:rsidRDefault="00975D4B" w:rsidP="00975D4B">
      <w:pPr>
        <w:rPr>
          <w:szCs w:val="22"/>
        </w:rPr>
      </w:pPr>
      <w:r w:rsidRPr="00BB748C">
        <w:rPr>
          <w:szCs w:val="22"/>
        </w:rPr>
        <w:t xml:space="preserve">Клиент и Компания признают факт ознакомления Клиента с настоящей Декларации путем присоединения Клиента к </w:t>
      </w:r>
      <w:r w:rsidR="00597B9D" w:rsidRPr="00BB748C">
        <w:rPr>
          <w:iCs/>
          <w:szCs w:val="22"/>
        </w:rPr>
        <w:t>Регламенту осуществления АО ИФК «</w:t>
      </w:r>
      <w:proofErr w:type="spellStart"/>
      <w:r w:rsidR="00597B9D" w:rsidRPr="00BB748C">
        <w:rPr>
          <w:iCs/>
          <w:szCs w:val="22"/>
        </w:rPr>
        <w:t>Солид</w:t>
      </w:r>
      <w:proofErr w:type="spellEnd"/>
      <w:r w:rsidR="00597B9D" w:rsidRPr="00BB748C">
        <w:rPr>
          <w:iCs/>
          <w:szCs w:val="22"/>
        </w:rPr>
        <w:t>» деятельности по управлению ценными бумагами</w:t>
      </w:r>
      <w:r w:rsidRPr="00BB748C">
        <w:rPr>
          <w:szCs w:val="22"/>
        </w:rPr>
        <w:t xml:space="preserve"> и подписания им Договора </w:t>
      </w:r>
      <w:r w:rsidR="00597B9D" w:rsidRPr="00BB748C">
        <w:rPr>
          <w:szCs w:val="22"/>
        </w:rPr>
        <w:t xml:space="preserve">доверительного управления </w:t>
      </w:r>
      <w:r w:rsidRPr="00BB748C">
        <w:rPr>
          <w:szCs w:val="22"/>
        </w:rPr>
        <w:t>в порядке, установленном Регламентом.</w:t>
      </w:r>
    </w:p>
    <w:p w:rsidR="00975D4B" w:rsidRPr="006563B3" w:rsidRDefault="00975D4B" w:rsidP="00975D4B">
      <w:pPr>
        <w:rPr>
          <w:szCs w:val="22"/>
        </w:rPr>
      </w:pPr>
      <w:r w:rsidRPr="00BB748C">
        <w:rPr>
          <w:szCs w:val="22"/>
        </w:rPr>
        <w:t xml:space="preserve">В последующем Клиент и Компания соглашаются признавать в качестве Декларации, с которой ознакомился Клиент, измененную редакцию Декларации, если такие изменения осуществлены в порядке, установленном Регламентом. Измененная редакция Декларации действует с момента вступления в силу измененной редакции Регламента, которой устанавливается измененная редакция Декларации.  Измененная Декларация предоставляется Клиенту для ознакомления </w:t>
      </w:r>
      <w:r w:rsidRPr="00BB748C">
        <w:rPr>
          <w:color w:val="000000"/>
          <w:szCs w:val="22"/>
        </w:rPr>
        <w:t xml:space="preserve">путем размещения на </w:t>
      </w:r>
      <w:r w:rsidRPr="00BB748C">
        <w:rPr>
          <w:color w:val="000000"/>
          <w:szCs w:val="22"/>
          <w:lang w:val="en-US"/>
        </w:rPr>
        <w:t>WEB</w:t>
      </w:r>
      <w:r w:rsidRPr="00BB748C">
        <w:rPr>
          <w:color w:val="000000"/>
          <w:szCs w:val="22"/>
        </w:rPr>
        <w:t>-сайте Компании.</w:t>
      </w:r>
    </w:p>
    <w:sectPr w:rsidR="00975D4B" w:rsidRPr="006563B3" w:rsidSect="000629B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2C" w:rsidRDefault="00FE3F2C" w:rsidP="00CE771C">
      <w:pPr>
        <w:spacing w:line="240" w:lineRule="auto"/>
      </w:pPr>
      <w:r>
        <w:separator/>
      </w:r>
    </w:p>
  </w:endnote>
  <w:endnote w:type="continuationSeparator" w:id="0">
    <w:p w:rsidR="00FE3F2C" w:rsidRDefault="00FE3F2C"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Marlett">
    <w:panose1 w:val="00000000000000000000"/>
    <w:charset w:val="02"/>
    <w:family w:val="auto"/>
    <w:pitch w:val="variable"/>
    <w:sig w:usb0="00000000" w:usb1="10000000" w:usb2="00000000" w:usb3="00000000" w:csb0="80000000"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LightC">
    <w:altName w:val="Courier New"/>
    <w:panose1 w:val="00000000000000000000"/>
    <w:charset w:val="CC"/>
    <w:family w:val="modern"/>
    <w:notTrueType/>
    <w:pitch w:val="variable"/>
    <w:sig w:usb0="00000001" w:usb1="1000004A"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5" w:rsidRDefault="005959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BB748C">
      <w:rPr>
        <w:noProof/>
        <w:color w:val="63002F"/>
      </w:rPr>
      <w:t>1</w:t>
    </w:r>
    <w:r w:rsidRPr="00A85B14">
      <w:rPr>
        <w:color w:val="63002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5" w:rsidRDefault="005959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2C" w:rsidRDefault="00FE3F2C" w:rsidP="00CE771C">
      <w:pPr>
        <w:spacing w:line="240" w:lineRule="auto"/>
      </w:pPr>
      <w:r>
        <w:separator/>
      </w:r>
    </w:p>
  </w:footnote>
  <w:footnote w:type="continuationSeparator" w:id="0">
    <w:p w:rsidR="00FE3F2C" w:rsidRDefault="00FE3F2C"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5" w:rsidRDefault="005959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639D2649" wp14:editId="1ED2A8B2">
                <wp:extent cx="802104" cy="714375"/>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595985" w:rsidRDefault="00025DB3" w:rsidP="00025DB3">
          <w:pPr>
            <w:pStyle w:val="a3"/>
            <w:ind w:left="2832"/>
            <w:rPr>
              <w:iCs/>
              <w:color w:val="63002F"/>
              <w:sz w:val="20"/>
              <w:szCs w:val="20"/>
            </w:rPr>
          </w:pPr>
          <w:r>
            <w:rPr>
              <w:iCs/>
              <w:color w:val="63002F"/>
              <w:sz w:val="20"/>
              <w:szCs w:val="20"/>
            </w:rPr>
            <w:t xml:space="preserve">      </w:t>
          </w:r>
          <w:r w:rsidR="00614653" w:rsidRPr="00595985">
            <w:rPr>
              <w:iCs/>
              <w:color w:val="63002F"/>
              <w:sz w:val="20"/>
              <w:szCs w:val="20"/>
            </w:rPr>
            <w:t>Приложение  №</w:t>
          </w:r>
          <w:r w:rsidR="00270130" w:rsidRPr="00595985">
            <w:rPr>
              <w:iCs/>
              <w:color w:val="63002F"/>
              <w:sz w:val="20"/>
              <w:szCs w:val="20"/>
            </w:rPr>
            <w:t>РДУ–</w:t>
          </w:r>
          <w:r w:rsidR="0095191A" w:rsidRPr="00595985">
            <w:rPr>
              <w:iCs/>
              <w:color w:val="63002F"/>
              <w:sz w:val="20"/>
              <w:szCs w:val="20"/>
            </w:rPr>
            <w:t>13</w:t>
          </w:r>
          <w:r w:rsidR="00790B9A" w:rsidRPr="00595985">
            <w:rPr>
              <w:iCs/>
              <w:color w:val="63002F"/>
              <w:sz w:val="20"/>
              <w:szCs w:val="20"/>
            </w:rPr>
            <w:t xml:space="preserve"> «</w:t>
          </w:r>
          <w:r w:rsidR="00614653" w:rsidRPr="00595985">
            <w:rPr>
              <w:iCs/>
              <w:color w:val="63002F"/>
              <w:sz w:val="20"/>
              <w:szCs w:val="20"/>
            </w:rPr>
            <w:t>Декларация о рисках</w:t>
          </w:r>
          <w:r w:rsidR="00790B9A" w:rsidRPr="00595985">
            <w:rPr>
              <w:iCs/>
              <w:color w:val="63002F"/>
              <w:sz w:val="20"/>
              <w:szCs w:val="20"/>
            </w:rPr>
            <w:t>»</w:t>
          </w:r>
        </w:p>
        <w:p w:rsidR="00AE0DD6" w:rsidRPr="00595985" w:rsidRDefault="00790B9A" w:rsidP="00025DB3">
          <w:pPr>
            <w:pStyle w:val="a3"/>
            <w:ind w:left="3127"/>
            <w:rPr>
              <w:iCs/>
              <w:color w:val="63002F"/>
              <w:sz w:val="20"/>
              <w:szCs w:val="20"/>
            </w:rPr>
          </w:pPr>
          <w:r w:rsidRPr="00595985">
            <w:rPr>
              <w:iCs/>
              <w:color w:val="63002F"/>
              <w:sz w:val="20"/>
              <w:szCs w:val="20"/>
            </w:rPr>
            <w:t xml:space="preserve">Регламент </w:t>
          </w:r>
          <w:r w:rsidR="00AE0DD6" w:rsidRPr="00595985">
            <w:rPr>
              <w:iCs/>
              <w:color w:val="63002F"/>
              <w:sz w:val="20"/>
              <w:szCs w:val="20"/>
            </w:rPr>
            <w:t>осуществления</w:t>
          </w:r>
          <w:r w:rsidRPr="00595985">
            <w:rPr>
              <w:iCs/>
              <w:color w:val="63002F"/>
              <w:sz w:val="20"/>
              <w:szCs w:val="20"/>
            </w:rPr>
            <w:t xml:space="preserve"> АО ИФК «</w:t>
          </w:r>
          <w:proofErr w:type="spellStart"/>
          <w:r w:rsidRPr="00595985">
            <w:rPr>
              <w:iCs/>
              <w:color w:val="63002F"/>
              <w:sz w:val="20"/>
              <w:szCs w:val="20"/>
            </w:rPr>
            <w:t>Солид</w:t>
          </w:r>
          <w:proofErr w:type="spellEnd"/>
          <w:r w:rsidRPr="00595985">
            <w:rPr>
              <w:iCs/>
              <w:color w:val="63002F"/>
              <w:sz w:val="20"/>
              <w:szCs w:val="20"/>
            </w:rPr>
            <w:t xml:space="preserve">» </w:t>
          </w:r>
        </w:p>
        <w:p w:rsidR="00790B9A" w:rsidRPr="00BD6DC8" w:rsidRDefault="00BD6DC8" w:rsidP="00025DB3">
          <w:pPr>
            <w:pStyle w:val="a3"/>
            <w:ind w:left="3127"/>
            <w:rPr>
              <w:iCs/>
              <w:color w:val="63002F"/>
              <w:sz w:val="20"/>
              <w:szCs w:val="20"/>
            </w:rPr>
          </w:pPr>
          <w:r w:rsidRPr="00595985">
            <w:rPr>
              <w:iCs/>
              <w:color w:val="63002F"/>
              <w:sz w:val="20"/>
              <w:szCs w:val="20"/>
            </w:rPr>
            <w:t>деятельности по управлению</w:t>
          </w:r>
          <w:r w:rsidR="00025DB3" w:rsidRPr="00595985">
            <w:rPr>
              <w:iCs/>
              <w:color w:val="63002F"/>
              <w:sz w:val="20"/>
              <w:szCs w:val="20"/>
            </w:rPr>
            <w:t xml:space="preserve"> ценными бумагами</w:t>
          </w:r>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129E76E7" wp14:editId="64444545">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790B9A" w:rsidP="00426644">
          <w:pPr>
            <w:pStyle w:val="a3"/>
            <w:ind w:left="-284"/>
            <w:jc w:val="center"/>
            <w:rPr>
              <w:rFonts w:ascii="FreeSet" w:hAnsi="FreeSet"/>
              <w:i/>
              <w:iCs/>
              <w:sz w:val="20"/>
              <w:szCs w:val="20"/>
            </w:rPr>
          </w:pPr>
          <w:r w:rsidRPr="00CE771C">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  №15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w:t>
          </w:r>
          <w:proofErr w:type="spellStart"/>
          <w:r w:rsidRPr="00B45B0C">
            <w:rPr>
              <w:rFonts w:ascii="FreeSet Bold" w:hAnsi="FreeSet Bold"/>
              <w:iCs/>
              <w:sz w:val="22"/>
              <w:szCs w:val="22"/>
            </w:rPr>
            <w:t>Солид</w:t>
          </w:r>
          <w:proofErr w:type="spellEnd"/>
          <w:r w:rsidRPr="00B45B0C">
            <w:rPr>
              <w:rFonts w:ascii="FreeSet Bold" w:hAnsi="FreeSet Bold"/>
              <w:iCs/>
              <w:sz w:val="22"/>
              <w:szCs w:val="22"/>
            </w:rPr>
            <w:t>»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14F88"/>
    <w:multiLevelType w:val="multilevel"/>
    <w:tmpl w:val="B9F447AA"/>
    <w:lvl w:ilvl="0">
      <w:start w:val="1"/>
      <w:numFmt w:val="decimal"/>
      <w:lvlText w:val="%1."/>
      <w:lvlJc w:val="left"/>
      <w:pPr>
        <w:ind w:left="587" w:hanging="360"/>
      </w:pPr>
      <w:rPr>
        <w:rFonts w:hint="default"/>
        <w:b w:val="0"/>
      </w:rPr>
    </w:lvl>
    <w:lvl w:ilvl="1">
      <w:start w:val="1"/>
      <w:numFmt w:val="decimal"/>
      <w:isLgl/>
      <w:lvlText w:val="%1.%2."/>
      <w:lvlJc w:val="left"/>
      <w:pPr>
        <w:ind w:left="947" w:hanging="72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387" w:hanging="2160"/>
      </w:pPr>
      <w:rPr>
        <w:rFonts w:hint="default"/>
      </w:rPr>
    </w:lvl>
  </w:abstractNum>
  <w:abstractNum w:abstractNumId="6">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913B6"/>
    <w:multiLevelType w:val="multilevel"/>
    <w:tmpl w:val="0C10FE98"/>
    <w:lvl w:ilvl="0">
      <w:start w:val="1"/>
      <w:numFmt w:val="decimal"/>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9113492"/>
    <w:multiLevelType w:val="hybridMultilevel"/>
    <w:tmpl w:val="9754D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D0427"/>
    <w:multiLevelType w:val="hybridMultilevel"/>
    <w:tmpl w:val="09904980"/>
    <w:lvl w:ilvl="0" w:tplc="FA9A87AA">
      <w:start w:val="1"/>
      <w:numFmt w:val="upperRoman"/>
      <w:lvlText w:val="%1."/>
      <w:lvlJc w:val="left"/>
      <w:pPr>
        <w:ind w:left="1106" w:hanging="72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5">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A6A14"/>
    <w:multiLevelType w:val="hybridMultilevel"/>
    <w:tmpl w:val="BEBCAF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5476730C"/>
    <w:multiLevelType w:val="hybridMultilevel"/>
    <w:tmpl w:val="AF828406"/>
    <w:lvl w:ilvl="0" w:tplc="CE9836E8">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25">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29">
    <w:nsid w:val="62CD19F2"/>
    <w:multiLevelType w:val="hybridMultilevel"/>
    <w:tmpl w:val="D454176A"/>
    <w:lvl w:ilvl="0" w:tplc="2EAE352A">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0">
    <w:nsid w:val="642A76DB"/>
    <w:multiLevelType w:val="hybridMultilevel"/>
    <w:tmpl w:val="10FCD5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127A91"/>
    <w:multiLevelType w:val="hybridMultilevel"/>
    <w:tmpl w:val="A0D6B016"/>
    <w:lvl w:ilvl="0" w:tplc="8D72FB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BE32B13"/>
    <w:multiLevelType w:val="hybridMultilevel"/>
    <w:tmpl w:val="55481A98"/>
    <w:lvl w:ilvl="0" w:tplc="E8DCE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F5C7F"/>
    <w:multiLevelType w:val="hybridMultilevel"/>
    <w:tmpl w:val="17A0B3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8F145C"/>
    <w:multiLevelType w:val="hybridMultilevel"/>
    <w:tmpl w:val="55481A98"/>
    <w:lvl w:ilvl="0" w:tplc="E8DCE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3"/>
  </w:num>
  <w:num w:numId="2">
    <w:abstractNumId w:val="41"/>
  </w:num>
  <w:num w:numId="3">
    <w:abstractNumId w:val="16"/>
  </w:num>
  <w:num w:numId="4">
    <w:abstractNumId w:val="19"/>
  </w:num>
  <w:num w:numId="5">
    <w:abstractNumId w:val="26"/>
  </w:num>
  <w:num w:numId="6">
    <w:abstractNumId w:val="7"/>
  </w:num>
  <w:num w:numId="7">
    <w:abstractNumId w:val="21"/>
  </w:num>
  <w:num w:numId="8">
    <w:abstractNumId w:val="13"/>
  </w:num>
  <w:num w:numId="9">
    <w:abstractNumId w:val="31"/>
  </w:num>
  <w:num w:numId="10">
    <w:abstractNumId w:val="27"/>
  </w:num>
  <w:num w:numId="11">
    <w:abstractNumId w:val="2"/>
  </w:num>
  <w:num w:numId="12">
    <w:abstractNumId w:val="38"/>
  </w:num>
  <w:num w:numId="13">
    <w:abstractNumId w:val="6"/>
  </w:num>
  <w:num w:numId="14">
    <w:abstractNumId w:val="36"/>
  </w:num>
  <w:num w:numId="15">
    <w:abstractNumId w:val="22"/>
  </w:num>
  <w:num w:numId="16">
    <w:abstractNumId w:val="20"/>
  </w:num>
  <w:num w:numId="17">
    <w:abstractNumId w:val="25"/>
  </w:num>
  <w:num w:numId="18">
    <w:abstractNumId w:val="9"/>
  </w:num>
  <w:num w:numId="19">
    <w:abstractNumId w:val="18"/>
  </w:num>
  <w:num w:numId="20">
    <w:abstractNumId w:val="34"/>
  </w:num>
  <w:num w:numId="21">
    <w:abstractNumId w:val="39"/>
  </w:num>
  <w:num w:numId="22">
    <w:abstractNumId w:val="4"/>
  </w:num>
  <w:num w:numId="23">
    <w:abstractNumId w:val="15"/>
  </w:num>
  <w:num w:numId="24">
    <w:abstractNumId w:val="10"/>
  </w:num>
  <w:num w:numId="25">
    <w:abstractNumId w:val="0"/>
  </w:num>
  <w:num w:numId="26">
    <w:abstractNumId w:val="40"/>
  </w:num>
  <w:num w:numId="27">
    <w:abstractNumId w:val="8"/>
  </w:num>
  <w:num w:numId="28">
    <w:abstractNumId w:val="35"/>
  </w:num>
  <w:num w:numId="29">
    <w:abstractNumId w:val="28"/>
  </w:num>
  <w:num w:numId="30">
    <w:abstractNumId w:val="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3"/>
  </w:num>
  <w:num w:numId="35">
    <w:abstractNumId w:val="37"/>
  </w:num>
  <w:num w:numId="36">
    <w:abstractNumId w:val="3"/>
  </w:num>
  <w:num w:numId="37">
    <w:abstractNumId w:val="30"/>
  </w:num>
  <w:num w:numId="38">
    <w:abstractNumId w:val="12"/>
  </w:num>
  <w:num w:numId="39">
    <w:abstractNumId w:val="32"/>
  </w:num>
  <w:num w:numId="40">
    <w:abstractNumId w:val="24"/>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20C1F"/>
    <w:rsid w:val="0002348E"/>
    <w:rsid w:val="00024331"/>
    <w:rsid w:val="00025DB3"/>
    <w:rsid w:val="00030F21"/>
    <w:rsid w:val="0004354B"/>
    <w:rsid w:val="000629B2"/>
    <w:rsid w:val="00076F57"/>
    <w:rsid w:val="000807CD"/>
    <w:rsid w:val="0008402B"/>
    <w:rsid w:val="0008748A"/>
    <w:rsid w:val="00092EC5"/>
    <w:rsid w:val="00093B26"/>
    <w:rsid w:val="00094289"/>
    <w:rsid w:val="00095067"/>
    <w:rsid w:val="000A1944"/>
    <w:rsid w:val="000B180A"/>
    <w:rsid w:val="000C0FB8"/>
    <w:rsid w:val="000C5208"/>
    <w:rsid w:val="000C63CD"/>
    <w:rsid w:val="000C6747"/>
    <w:rsid w:val="000C7F67"/>
    <w:rsid w:val="000D2B3E"/>
    <w:rsid w:val="000D42F4"/>
    <w:rsid w:val="000E53F6"/>
    <w:rsid w:val="000E6BA2"/>
    <w:rsid w:val="000E7A06"/>
    <w:rsid w:val="000F0643"/>
    <w:rsid w:val="000F4731"/>
    <w:rsid w:val="00101559"/>
    <w:rsid w:val="001023B5"/>
    <w:rsid w:val="00102B61"/>
    <w:rsid w:val="00111714"/>
    <w:rsid w:val="00115FE7"/>
    <w:rsid w:val="001226B3"/>
    <w:rsid w:val="00131399"/>
    <w:rsid w:val="00140BE5"/>
    <w:rsid w:val="0014100E"/>
    <w:rsid w:val="00145D7D"/>
    <w:rsid w:val="00150232"/>
    <w:rsid w:val="0017019E"/>
    <w:rsid w:val="00176764"/>
    <w:rsid w:val="00176BC8"/>
    <w:rsid w:val="00181C30"/>
    <w:rsid w:val="00181D67"/>
    <w:rsid w:val="001846F6"/>
    <w:rsid w:val="00187EEB"/>
    <w:rsid w:val="00196BB6"/>
    <w:rsid w:val="001A1982"/>
    <w:rsid w:val="001B1E71"/>
    <w:rsid w:val="001B396B"/>
    <w:rsid w:val="001B3A9D"/>
    <w:rsid w:val="001B490C"/>
    <w:rsid w:val="001C08DD"/>
    <w:rsid w:val="001D295E"/>
    <w:rsid w:val="001D4F56"/>
    <w:rsid w:val="00212212"/>
    <w:rsid w:val="0022275B"/>
    <w:rsid w:val="002252A0"/>
    <w:rsid w:val="00225B80"/>
    <w:rsid w:val="0022643D"/>
    <w:rsid w:val="00226567"/>
    <w:rsid w:val="002268BF"/>
    <w:rsid w:val="00236FD7"/>
    <w:rsid w:val="00242413"/>
    <w:rsid w:val="00244993"/>
    <w:rsid w:val="0025024A"/>
    <w:rsid w:val="002503FB"/>
    <w:rsid w:val="002514D6"/>
    <w:rsid w:val="002557D6"/>
    <w:rsid w:val="002570C2"/>
    <w:rsid w:val="0026118A"/>
    <w:rsid w:val="002623BF"/>
    <w:rsid w:val="00262A5F"/>
    <w:rsid w:val="00265B6A"/>
    <w:rsid w:val="00270130"/>
    <w:rsid w:val="0027247A"/>
    <w:rsid w:val="0027263A"/>
    <w:rsid w:val="002A55CE"/>
    <w:rsid w:val="002A6B20"/>
    <w:rsid w:val="002B6DDA"/>
    <w:rsid w:val="002B77D0"/>
    <w:rsid w:val="002C0EC1"/>
    <w:rsid w:val="002C3BE3"/>
    <w:rsid w:val="002C6ABC"/>
    <w:rsid w:val="002D32E7"/>
    <w:rsid w:val="002D430C"/>
    <w:rsid w:val="002F0674"/>
    <w:rsid w:val="002F52E8"/>
    <w:rsid w:val="002F65AB"/>
    <w:rsid w:val="002F6690"/>
    <w:rsid w:val="002F6902"/>
    <w:rsid w:val="00302454"/>
    <w:rsid w:val="00304E65"/>
    <w:rsid w:val="00307382"/>
    <w:rsid w:val="0030772B"/>
    <w:rsid w:val="00311C57"/>
    <w:rsid w:val="00321366"/>
    <w:rsid w:val="003231E9"/>
    <w:rsid w:val="003260B3"/>
    <w:rsid w:val="003332C0"/>
    <w:rsid w:val="00333A24"/>
    <w:rsid w:val="00352CC7"/>
    <w:rsid w:val="003708AB"/>
    <w:rsid w:val="00374712"/>
    <w:rsid w:val="003759B5"/>
    <w:rsid w:val="0038593F"/>
    <w:rsid w:val="00386F2D"/>
    <w:rsid w:val="003940B8"/>
    <w:rsid w:val="003B7FCD"/>
    <w:rsid w:val="003D6DEF"/>
    <w:rsid w:val="003F0EEC"/>
    <w:rsid w:val="00400690"/>
    <w:rsid w:val="00402F66"/>
    <w:rsid w:val="00403A13"/>
    <w:rsid w:val="0041057A"/>
    <w:rsid w:val="00412723"/>
    <w:rsid w:val="004231AE"/>
    <w:rsid w:val="00424444"/>
    <w:rsid w:val="00425497"/>
    <w:rsid w:val="00426644"/>
    <w:rsid w:val="004351A9"/>
    <w:rsid w:val="00442369"/>
    <w:rsid w:val="00445A67"/>
    <w:rsid w:val="00461335"/>
    <w:rsid w:val="004617E5"/>
    <w:rsid w:val="00463FFC"/>
    <w:rsid w:val="00472BA3"/>
    <w:rsid w:val="004759CB"/>
    <w:rsid w:val="00486F62"/>
    <w:rsid w:val="0048765B"/>
    <w:rsid w:val="00487DC2"/>
    <w:rsid w:val="0049009C"/>
    <w:rsid w:val="004974F0"/>
    <w:rsid w:val="004A09E6"/>
    <w:rsid w:val="004A40DF"/>
    <w:rsid w:val="004B3507"/>
    <w:rsid w:val="004B67C2"/>
    <w:rsid w:val="004B7901"/>
    <w:rsid w:val="004D1454"/>
    <w:rsid w:val="004D362E"/>
    <w:rsid w:val="004E020A"/>
    <w:rsid w:val="004E1008"/>
    <w:rsid w:val="004E1DF3"/>
    <w:rsid w:val="004E1E1A"/>
    <w:rsid w:val="004E4CBB"/>
    <w:rsid w:val="004E67A5"/>
    <w:rsid w:val="004F168D"/>
    <w:rsid w:val="004F1D16"/>
    <w:rsid w:val="004F5188"/>
    <w:rsid w:val="005062DC"/>
    <w:rsid w:val="005077E9"/>
    <w:rsid w:val="00517559"/>
    <w:rsid w:val="005260D5"/>
    <w:rsid w:val="00527F6B"/>
    <w:rsid w:val="00533D38"/>
    <w:rsid w:val="00547B28"/>
    <w:rsid w:val="005519A9"/>
    <w:rsid w:val="005553C7"/>
    <w:rsid w:val="00556F79"/>
    <w:rsid w:val="005575AE"/>
    <w:rsid w:val="00560882"/>
    <w:rsid w:val="0057769D"/>
    <w:rsid w:val="00582CF8"/>
    <w:rsid w:val="00583943"/>
    <w:rsid w:val="005858A8"/>
    <w:rsid w:val="005904A0"/>
    <w:rsid w:val="00593E80"/>
    <w:rsid w:val="00594D94"/>
    <w:rsid w:val="00595784"/>
    <w:rsid w:val="00595985"/>
    <w:rsid w:val="00597B9D"/>
    <w:rsid w:val="005A1A4A"/>
    <w:rsid w:val="005A56BB"/>
    <w:rsid w:val="005A7823"/>
    <w:rsid w:val="005B2CDE"/>
    <w:rsid w:val="005B5BF2"/>
    <w:rsid w:val="005C6CAB"/>
    <w:rsid w:val="005F795F"/>
    <w:rsid w:val="006141E6"/>
    <w:rsid w:val="0061443C"/>
    <w:rsid w:val="00614653"/>
    <w:rsid w:val="00625847"/>
    <w:rsid w:val="0063189C"/>
    <w:rsid w:val="00632DF3"/>
    <w:rsid w:val="006400D6"/>
    <w:rsid w:val="00640CB1"/>
    <w:rsid w:val="006626EE"/>
    <w:rsid w:val="00666CA3"/>
    <w:rsid w:val="00670D40"/>
    <w:rsid w:val="00677327"/>
    <w:rsid w:val="0067774C"/>
    <w:rsid w:val="00691A65"/>
    <w:rsid w:val="006A0686"/>
    <w:rsid w:val="006A22E2"/>
    <w:rsid w:val="006A2553"/>
    <w:rsid w:val="006A3A5B"/>
    <w:rsid w:val="006A5703"/>
    <w:rsid w:val="006B564C"/>
    <w:rsid w:val="006C5D13"/>
    <w:rsid w:val="006D0A58"/>
    <w:rsid w:val="006D4E13"/>
    <w:rsid w:val="006E213F"/>
    <w:rsid w:val="006E240D"/>
    <w:rsid w:val="0071191D"/>
    <w:rsid w:val="0071230F"/>
    <w:rsid w:val="00712FB3"/>
    <w:rsid w:val="00713947"/>
    <w:rsid w:val="00714E31"/>
    <w:rsid w:val="007152B2"/>
    <w:rsid w:val="0073399E"/>
    <w:rsid w:val="007551E5"/>
    <w:rsid w:val="007610DA"/>
    <w:rsid w:val="00766D5C"/>
    <w:rsid w:val="007831AA"/>
    <w:rsid w:val="0078454A"/>
    <w:rsid w:val="00790B9A"/>
    <w:rsid w:val="00794D1F"/>
    <w:rsid w:val="00795CA0"/>
    <w:rsid w:val="0079705D"/>
    <w:rsid w:val="00797662"/>
    <w:rsid w:val="007A0E9B"/>
    <w:rsid w:val="007C094C"/>
    <w:rsid w:val="007C20A0"/>
    <w:rsid w:val="007C2C55"/>
    <w:rsid w:val="007C41B2"/>
    <w:rsid w:val="007D6F90"/>
    <w:rsid w:val="007F4C4F"/>
    <w:rsid w:val="007F7D89"/>
    <w:rsid w:val="00804F6D"/>
    <w:rsid w:val="00816873"/>
    <w:rsid w:val="008171A7"/>
    <w:rsid w:val="00821923"/>
    <w:rsid w:val="008254FE"/>
    <w:rsid w:val="00827C8D"/>
    <w:rsid w:val="00830AC2"/>
    <w:rsid w:val="00843CDC"/>
    <w:rsid w:val="00844D38"/>
    <w:rsid w:val="00846432"/>
    <w:rsid w:val="00851835"/>
    <w:rsid w:val="00864ED7"/>
    <w:rsid w:val="00866584"/>
    <w:rsid w:val="008673E4"/>
    <w:rsid w:val="008722B4"/>
    <w:rsid w:val="008754CF"/>
    <w:rsid w:val="008768AA"/>
    <w:rsid w:val="008871EA"/>
    <w:rsid w:val="00897531"/>
    <w:rsid w:val="008A03CE"/>
    <w:rsid w:val="008A042F"/>
    <w:rsid w:val="008A7E5C"/>
    <w:rsid w:val="008B68DD"/>
    <w:rsid w:val="008E0866"/>
    <w:rsid w:val="008E1042"/>
    <w:rsid w:val="008E2DE7"/>
    <w:rsid w:val="008E7288"/>
    <w:rsid w:val="008F17AC"/>
    <w:rsid w:val="00903C3D"/>
    <w:rsid w:val="00907C6E"/>
    <w:rsid w:val="0091084A"/>
    <w:rsid w:val="00914A83"/>
    <w:rsid w:val="00924116"/>
    <w:rsid w:val="0093239F"/>
    <w:rsid w:val="00937374"/>
    <w:rsid w:val="0095191A"/>
    <w:rsid w:val="009531B7"/>
    <w:rsid w:val="00975D4B"/>
    <w:rsid w:val="00977A0E"/>
    <w:rsid w:val="00977D3B"/>
    <w:rsid w:val="00980877"/>
    <w:rsid w:val="00982231"/>
    <w:rsid w:val="009829F6"/>
    <w:rsid w:val="009C3135"/>
    <w:rsid w:val="009C4E92"/>
    <w:rsid w:val="009C5B72"/>
    <w:rsid w:val="009E3EF4"/>
    <w:rsid w:val="009E4795"/>
    <w:rsid w:val="009E7DCA"/>
    <w:rsid w:val="009F4031"/>
    <w:rsid w:val="00A10B8B"/>
    <w:rsid w:val="00A244CB"/>
    <w:rsid w:val="00A25568"/>
    <w:rsid w:val="00A25E4A"/>
    <w:rsid w:val="00A264FF"/>
    <w:rsid w:val="00A26C48"/>
    <w:rsid w:val="00A27FC4"/>
    <w:rsid w:val="00A30B64"/>
    <w:rsid w:val="00A4370D"/>
    <w:rsid w:val="00A51FEC"/>
    <w:rsid w:val="00A52162"/>
    <w:rsid w:val="00A55611"/>
    <w:rsid w:val="00A55A2D"/>
    <w:rsid w:val="00A659ED"/>
    <w:rsid w:val="00A74075"/>
    <w:rsid w:val="00A75761"/>
    <w:rsid w:val="00A76601"/>
    <w:rsid w:val="00A85A0F"/>
    <w:rsid w:val="00A85B14"/>
    <w:rsid w:val="00A9588B"/>
    <w:rsid w:val="00AA1CEF"/>
    <w:rsid w:val="00AA1CF9"/>
    <w:rsid w:val="00AB1843"/>
    <w:rsid w:val="00AB3E72"/>
    <w:rsid w:val="00AB5885"/>
    <w:rsid w:val="00AB7853"/>
    <w:rsid w:val="00AC3453"/>
    <w:rsid w:val="00AC64A5"/>
    <w:rsid w:val="00AE0DD6"/>
    <w:rsid w:val="00AE56A0"/>
    <w:rsid w:val="00AF02A5"/>
    <w:rsid w:val="00AF104D"/>
    <w:rsid w:val="00AF7032"/>
    <w:rsid w:val="00B037EF"/>
    <w:rsid w:val="00B03BA3"/>
    <w:rsid w:val="00B0559A"/>
    <w:rsid w:val="00B06B82"/>
    <w:rsid w:val="00B0755B"/>
    <w:rsid w:val="00B1032C"/>
    <w:rsid w:val="00B20CD2"/>
    <w:rsid w:val="00B2114C"/>
    <w:rsid w:val="00B34B24"/>
    <w:rsid w:val="00B3537E"/>
    <w:rsid w:val="00B4480B"/>
    <w:rsid w:val="00B45B0C"/>
    <w:rsid w:val="00B53978"/>
    <w:rsid w:val="00B564F1"/>
    <w:rsid w:val="00B61274"/>
    <w:rsid w:val="00B64377"/>
    <w:rsid w:val="00B72209"/>
    <w:rsid w:val="00B7605B"/>
    <w:rsid w:val="00B7754B"/>
    <w:rsid w:val="00B83630"/>
    <w:rsid w:val="00B95DD6"/>
    <w:rsid w:val="00B966BE"/>
    <w:rsid w:val="00BA3C80"/>
    <w:rsid w:val="00BA7635"/>
    <w:rsid w:val="00BB40D4"/>
    <w:rsid w:val="00BB5F3B"/>
    <w:rsid w:val="00BB748C"/>
    <w:rsid w:val="00BC76F7"/>
    <w:rsid w:val="00BD0719"/>
    <w:rsid w:val="00BD110B"/>
    <w:rsid w:val="00BD49C6"/>
    <w:rsid w:val="00BD6DC8"/>
    <w:rsid w:val="00BE1DAA"/>
    <w:rsid w:val="00BE20D0"/>
    <w:rsid w:val="00BE5F33"/>
    <w:rsid w:val="00BF1776"/>
    <w:rsid w:val="00BF406C"/>
    <w:rsid w:val="00BF78A6"/>
    <w:rsid w:val="00C10FC6"/>
    <w:rsid w:val="00C15B39"/>
    <w:rsid w:val="00C26F06"/>
    <w:rsid w:val="00C27289"/>
    <w:rsid w:val="00C45F1A"/>
    <w:rsid w:val="00C50D4D"/>
    <w:rsid w:val="00C51AD8"/>
    <w:rsid w:val="00C57C9E"/>
    <w:rsid w:val="00C62EA7"/>
    <w:rsid w:val="00C646A9"/>
    <w:rsid w:val="00C6581B"/>
    <w:rsid w:val="00C65DCA"/>
    <w:rsid w:val="00C718D9"/>
    <w:rsid w:val="00C73954"/>
    <w:rsid w:val="00C76426"/>
    <w:rsid w:val="00C812CC"/>
    <w:rsid w:val="00C84AAF"/>
    <w:rsid w:val="00C97D46"/>
    <w:rsid w:val="00CA0228"/>
    <w:rsid w:val="00CB52B6"/>
    <w:rsid w:val="00CB5F4C"/>
    <w:rsid w:val="00CC4A05"/>
    <w:rsid w:val="00CC5040"/>
    <w:rsid w:val="00CC5CCE"/>
    <w:rsid w:val="00CC6BD0"/>
    <w:rsid w:val="00CD3291"/>
    <w:rsid w:val="00CD5828"/>
    <w:rsid w:val="00CD760D"/>
    <w:rsid w:val="00CE1880"/>
    <w:rsid w:val="00CE506C"/>
    <w:rsid w:val="00CE771C"/>
    <w:rsid w:val="00CF28EA"/>
    <w:rsid w:val="00CF52E5"/>
    <w:rsid w:val="00CF79FD"/>
    <w:rsid w:val="00D028F9"/>
    <w:rsid w:val="00D13C62"/>
    <w:rsid w:val="00D322F5"/>
    <w:rsid w:val="00D32674"/>
    <w:rsid w:val="00D34C5C"/>
    <w:rsid w:val="00D43DD4"/>
    <w:rsid w:val="00D500C7"/>
    <w:rsid w:val="00D500CB"/>
    <w:rsid w:val="00D64713"/>
    <w:rsid w:val="00D76AEF"/>
    <w:rsid w:val="00D8045F"/>
    <w:rsid w:val="00D813A5"/>
    <w:rsid w:val="00D83255"/>
    <w:rsid w:val="00D84CE0"/>
    <w:rsid w:val="00D92456"/>
    <w:rsid w:val="00DA2382"/>
    <w:rsid w:val="00DB6E71"/>
    <w:rsid w:val="00DB73DC"/>
    <w:rsid w:val="00DC3893"/>
    <w:rsid w:val="00DD0930"/>
    <w:rsid w:val="00DD0964"/>
    <w:rsid w:val="00DD201F"/>
    <w:rsid w:val="00DD7BA8"/>
    <w:rsid w:val="00DF0D32"/>
    <w:rsid w:val="00DF53E3"/>
    <w:rsid w:val="00DF5A8C"/>
    <w:rsid w:val="00DF60ED"/>
    <w:rsid w:val="00E0286D"/>
    <w:rsid w:val="00E10131"/>
    <w:rsid w:val="00E13899"/>
    <w:rsid w:val="00E15D94"/>
    <w:rsid w:val="00E17B97"/>
    <w:rsid w:val="00E24DD4"/>
    <w:rsid w:val="00E4009B"/>
    <w:rsid w:val="00E4164A"/>
    <w:rsid w:val="00E420B2"/>
    <w:rsid w:val="00E46E0C"/>
    <w:rsid w:val="00E61950"/>
    <w:rsid w:val="00E62996"/>
    <w:rsid w:val="00E653C5"/>
    <w:rsid w:val="00E65516"/>
    <w:rsid w:val="00E727EA"/>
    <w:rsid w:val="00E76496"/>
    <w:rsid w:val="00E84D2E"/>
    <w:rsid w:val="00E87D29"/>
    <w:rsid w:val="00EA0349"/>
    <w:rsid w:val="00EA0F51"/>
    <w:rsid w:val="00EC30C7"/>
    <w:rsid w:val="00EC37CE"/>
    <w:rsid w:val="00EC5582"/>
    <w:rsid w:val="00ED1125"/>
    <w:rsid w:val="00ED1AFA"/>
    <w:rsid w:val="00ED2063"/>
    <w:rsid w:val="00ED2A17"/>
    <w:rsid w:val="00ED5899"/>
    <w:rsid w:val="00EE157A"/>
    <w:rsid w:val="00EE565F"/>
    <w:rsid w:val="00F06470"/>
    <w:rsid w:val="00F141F5"/>
    <w:rsid w:val="00F206BD"/>
    <w:rsid w:val="00F21570"/>
    <w:rsid w:val="00F23CB6"/>
    <w:rsid w:val="00F34A36"/>
    <w:rsid w:val="00F34A61"/>
    <w:rsid w:val="00F35284"/>
    <w:rsid w:val="00F36F8E"/>
    <w:rsid w:val="00F37942"/>
    <w:rsid w:val="00F42964"/>
    <w:rsid w:val="00F452A7"/>
    <w:rsid w:val="00F466AA"/>
    <w:rsid w:val="00F52A1C"/>
    <w:rsid w:val="00F53390"/>
    <w:rsid w:val="00F5393C"/>
    <w:rsid w:val="00F54EEA"/>
    <w:rsid w:val="00F57C69"/>
    <w:rsid w:val="00F60FC2"/>
    <w:rsid w:val="00F64122"/>
    <w:rsid w:val="00F64FDE"/>
    <w:rsid w:val="00F7060F"/>
    <w:rsid w:val="00F75FE9"/>
    <w:rsid w:val="00F80A88"/>
    <w:rsid w:val="00F837AF"/>
    <w:rsid w:val="00F8408C"/>
    <w:rsid w:val="00F9387A"/>
    <w:rsid w:val="00FA2C1D"/>
    <w:rsid w:val="00FB6953"/>
    <w:rsid w:val="00FB70E5"/>
    <w:rsid w:val="00FB7533"/>
    <w:rsid w:val="00FC0B3B"/>
    <w:rsid w:val="00FC732C"/>
    <w:rsid w:val="00FD1B76"/>
    <w:rsid w:val="00FD219B"/>
    <w:rsid w:val="00FD2492"/>
    <w:rsid w:val="00FD4F8C"/>
    <w:rsid w:val="00FE3F2C"/>
    <w:rsid w:val="00FF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F34A61"/>
    <w:rPr>
      <w:sz w:val="16"/>
      <w:szCs w:val="16"/>
    </w:rPr>
  </w:style>
  <w:style w:type="paragraph" w:styleId="af2">
    <w:name w:val="annotation text"/>
    <w:basedOn w:val="a"/>
    <w:link w:val="af3"/>
    <w:uiPriority w:val="99"/>
    <w:semiHidden/>
    <w:unhideWhenUsed/>
    <w:rsid w:val="00F34A61"/>
    <w:pPr>
      <w:spacing w:line="240" w:lineRule="auto"/>
    </w:pPr>
    <w:rPr>
      <w:sz w:val="20"/>
      <w:szCs w:val="20"/>
    </w:rPr>
  </w:style>
  <w:style w:type="character" w:customStyle="1" w:styleId="af3">
    <w:name w:val="Текст примечания Знак"/>
    <w:basedOn w:val="a0"/>
    <w:link w:val="af2"/>
    <w:uiPriority w:val="99"/>
    <w:semiHidden/>
    <w:rsid w:val="00F34A61"/>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F34A61"/>
    <w:rPr>
      <w:b/>
      <w:bCs/>
    </w:rPr>
  </w:style>
  <w:style w:type="character" w:customStyle="1" w:styleId="af5">
    <w:name w:val="Тема примечания Знак"/>
    <w:basedOn w:val="af3"/>
    <w:link w:val="af4"/>
    <w:uiPriority w:val="99"/>
    <w:semiHidden/>
    <w:rsid w:val="00F34A61"/>
    <w:rPr>
      <w:rFonts w:ascii="Times New Roman" w:eastAsia="Calibri" w:hAnsi="Times New Roman" w:cs="Times New Roman"/>
      <w:b/>
      <w:bCs/>
      <w:sz w:val="20"/>
      <w:szCs w:val="20"/>
      <w:shd w:val="clear" w:color="auto" w:fill="FFFFFF"/>
    </w:rPr>
  </w:style>
  <w:style w:type="paragraph" w:styleId="af6">
    <w:name w:val="Revision"/>
    <w:hidden/>
    <w:uiPriority w:val="99"/>
    <w:semiHidden/>
    <w:rsid w:val="00666CA3"/>
    <w:pPr>
      <w:spacing w:after="0" w:line="240" w:lineRule="auto"/>
    </w:pPr>
    <w:rPr>
      <w:rFonts w:ascii="Times New Roman" w:eastAsia="Calibri" w:hAnsi="Times New Roman" w:cs="Times New Roman"/>
      <w:szCs w:val="24"/>
    </w:rPr>
  </w:style>
  <w:style w:type="paragraph" w:styleId="32">
    <w:name w:val="Body Text 3"/>
    <w:basedOn w:val="a"/>
    <w:link w:val="33"/>
    <w:uiPriority w:val="99"/>
    <w:semiHidden/>
    <w:unhideWhenUsed/>
    <w:rsid w:val="00A30B64"/>
    <w:pPr>
      <w:spacing w:after="120"/>
    </w:pPr>
    <w:rPr>
      <w:sz w:val="16"/>
      <w:szCs w:val="16"/>
    </w:rPr>
  </w:style>
  <w:style w:type="character" w:customStyle="1" w:styleId="33">
    <w:name w:val="Основной текст 3 Знак"/>
    <w:basedOn w:val="a0"/>
    <w:link w:val="32"/>
    <w:uiPriority w:val="99"/>
    <w:semiHidden/>
    <w:rsid w:val="00A30B64"/>
    <w:rPr>
      <w:rFonts w:ascii="Times New Roman" w:eastAsia="Calibri" w:hAnsi="Times New Roman" w:cs="Times New Roman"/>
      <w:sz w:val="16"/>
      <w:szCs w:val="16"/>
      <w:shd w:val="clear" w:color="auto" w:fill="FFFFFF"/>
    </w:rPr>
  </w:style>
  <w:style w:type="paragraph" w:customStyle="1" w:styleId="210">
    <w:name w:val="Основной текст 21"/>
    <w:basedOn w:val="a"/>
    <w:rsid w:val="00AF104D"/>
    <w:pPr>
      <w:shd w:val="clear" w:color="auto" w:fill="auto"/>
      <w:spacing w:before="120" w:after="120" w:line="240" w:lineRule="auto"/>
      <w:ind w:left="0" w:right="0" w:firstLine="0"/>
      <w:jc w:val="center"/>
    </w:pPr>
    <w:rPr>
      <w:rFonts w:ascii="Marlett" w:eastAsia="Marlett" w:hAnsi="Marlett"/>
      <w:b/>
      <w:sz w:val="24"/>
      <w:szCs w:val="20"/>
      <w:lang w:eastAsia="ru-RU"/>
    </w:rPr>
  </w:style>
  <w:style w:type="paragraph" w:customStyle="1" w:styleId="ConsPlusNormal">
    <w:name w:val="ConsPlusNormal"/>
    <w:rsid w:val="00BA3C8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F34A61"/>
    <w:rPr>
      <w:sz w:val="16"/>
      <w:szCs w:val="16"/>
    </w:rPr>
  </w:style>
  <w:style w:type="paragraph" w:styleId="af2">
    <w:name w:val="annotation text"/>
    <w:basedOn w:val="a"/>
    <w:link w:val="af3"/>
    <w:uiPriority w:val="99"/>
    <w:semiHidden/>
    <w:unhideWhenUsed/>
    <w:rsid w:val="00F34A61"/>
    <w:pPr>
      <w:spacing w:line="240" w:lineRule="auto"/>
    </w:pPr>
    <w:rPr>
      <w:sz w:val="20"/>
      <w:szCs w:val="20"/>
    </w:rPr>
  </w:style>
  <w:style w:type="character" w:customStyle="1" w:styleId="af3">
    <w:name w:val="Текст примечания Знак"/>
    <w:basedOn w:val="a0"/>
    <w:link w:val="af2"/>
    <w:uiPriority w:val="99"/>
    <w:semiHidden/>
    <w:rsid w:val="00F34A61"/>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F34A61"/>
    <w:rPr>
      <w:b/>
      <w:bCs/>
    </w:rPr>
  </w:style>
  <w:style w:type="character" w:customStyle="1" w:styleId="af5">
    <w:name w:val="Тема примечания Знак"/>
    <w:basedOn w:val="af3"/>
    <w:link w:val="af4"/>
    <w:uiPriority w:val="99"/>
    <w:semiHidden/>
    <w:rsid w:val="00F34A61"/>
    <w:rPr>
      <w:rFonts w:ascii="Times New Roman" w:eastAsia="Calibri" w:hAnsi="Times New Roman" w:cs="Times New Roman"/>
      <w:b/>
      <w:bCs/>
      <w:sz w:val="20"/>
      <w:szCs w:val="20"/>
      <w:shd w:val="clear" w:color="auto" w:fill="FFFFFF"/>
    </w:rPr>
  </w:style>
  <w:style w:type="paragraph" w:styleId="af6">
    <w:name w:val="Revision"/>
    <w:hidden/>
    <w:uiPriority w:val="99"/>
    <w:semiHidden/>
    <w:rsid w:val="00666CA3"/>
    <w:pPr>
      <w:spacing w:after="0" w:line="240" w:lineRule="auto"/>
    </w:pPr>
    <w:rPr>
      <w:rFonts w:ascii="Times New Roman" w:eastAsia="Calibri" w:hAnsi="Times New Roman" w:cs="Times New Roman"/>
      <w:szCs w:val="24"/>
    </w:rPr>
  </w:style>
  <w:style w:type="paragraph" w:styleId="32">
    <w:name w:val="Body Text 3"/>
    <w:basedOn w:val="a"/>
    <w:link w:val="33"/>
    <w:uiPriority w:val="99"/>
    <w:semiHidden/>
    <w:unhideWhenUsed/>
    <w:rsid w:val="00A30B64"/>
    <w:pPr>
      <w:spacing w:after="120"/>
    </w:pPr>
    <w:rPr>
      <w:sz w:val="16"/>
      <w:szCs w:val="16"/>
    </w:rPr>
  </w:style>
  <w:style w:type="character" w:customStyle="1" w:styleId="33">
    <w:name w:val="Основной текст 3 Знак"/>
    <w:basedOn w:val="a0"/>
    <w:link w:val="32"/>
    <w:uiPriority w:val="99"/>
    <w:semiHidden/>
    <w:rsid w:val="00A30B64"/>
    <w:rPr>
      <w:rFonts w:ascii="Times New Roman" w:eastAsia="Calibri" w:hAnsi="Times New Roman" w:cs="Times New Roman"/>
      <w:sz w:val="16"/>
      <w:szCs w:val="16"/>
      <w:shd w:val="clear" w:color="auto" w:fill="FFFFFF"/>
    </w:rPr>
  </w:style>
  <w:style w:type="paragraph" w:customStyle="1" w:styleId="210">
    <w:name w:val="Основной текст 21"/>
    <w:basedOn w:val="a"/>
    <w:rsid w:val="00AF104D"/>
    <w:pPr>
      <w:shd w:val="clear" w:color="auto" w:fill="auto"/>
      <w:spacing w:before="120" w:after="120" w:line="240" w:lineRule="auto"/>
      <w:ind w:left="0" w:right="0" w:firstLine="0"/>
      <w:jc w:val="center"/>
    </w:pPr>
    <w:rPr>
      <w:rFonts w:ascii="Marlett" w:eastAsia="Marlett" w:hAnsi="Marlett"/>
      <w:b/>
      <w:sz w:val="24"/>
      <w:szCs w:val="20"/>
      <w:lang w:eastAsia="ru-RU"/>
    </w:rPr>
  </w:style>
  <w:style w:type="paragraph" w:customStyle="1" w:styleId="ConsPlusNormal">
    <w:name w:val="ConsPlusNormal"/>
    <w:rsid w:val="00BA3C8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074">
      <w:bodyDiv w:val="1"/>
      <w:marLeft w:val="0"/>
      <w:marRight w:val="0"/>
      <w:marTop w:val="0"/>
      <w:marBottom w:val="0"/>
      <w:divBdr>
        <w:top w:val="none" w:sz="0" w:space="0" w:color="auto"/>
        <w:left w:val="none" w:sz="0" w:space="0" w:color="auto"/>
        <w:bottom w:val="none" w:sz="0" w:space="0" w:color="auto"/>
        <w:right w:val="none" w:sz="0" w:space="0" w:color="auto"/>
      </w:divBdr>
    </w:div>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737020252">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18836259">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747798555">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70AF-FB4D-4B23-AFE1-C958FFB5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6271</Words>
  <Characters>35749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Кузьменко Александр</cp:lastModifiedBy>
  <cp:revision>17</cp:revision>
  <cp:lastPrinted>2017-07-05T07:54:00Z</cp:lastPrinted>
  <dcterms:created xsi:type="dcterms:W3CDTF">2018-10-17T05:24:00Z</dcterms:created>
  <dcterms:modified xsi:type="dcterms:W3CDTF">2019-11-15T09:56:00Z</dcterms:modified>
</cp:coreProperties>
</file>