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E9" w:rsidRPr="0099138D" w:rsidRDefault="00040DE9" w:rsidP="00040DE9">
      <w:pPr>
        <w:jc w:val="center"/>
        <w:rPr>
          <w:b/>
          <w:sz w:val="22"/>
          <w:szCs w:val="22"/>
        </w:rPr>
      </w:pPr>
    </w:p>
    <w:p w:rsidR="006823E4" w:rsidRPr="0099138D" w:rsidRDefault="006823E4" w:rsidP="00040DE9">
      <w:pPr>
        <w:jc w:val="center"/>
        <w:rPr>
          <w:b/>
          <w:sz w:val="22"/>
          <w:szCs w:val="22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5688"/>
        <w:gridCol w:w="4320"/>
      </w:tblGrid>
      <w:tr w:rsidR="006823E4" w:rsidRPr="00A369A7">
        <w:trPr>
          <w:trHeight w:val="267"/>
        </w:trPr>
        <w:tc>
          <w:tcPr>
            <w:tcW w:w="5688" w:type="dxa"/>
          </w:tcPr>
          <w:p w:rsidR="006823E4" w:rsidRPr="0099138D" w:rsidRDefault="006823E4" w:rsidP="00DF0630">
            <w:pPr>
              <w:pStyle w:val="a4"/>
              <w:tabs>
                <w:tab w:val="left" w:pos="3825"/>
              </w:tabs>
              <w:jc w:val="left"/>
              <w:rPr>
                <w:b/>
                <w:sz w:val="22"/>
                <w:szCs w:val="22"/>
              </w:rPr>
            </w:pPr>
          </w:p>
          <w:p w:rsidR="006823E4" w:rsidRPr="0099138D" w:rsidRDefault="006823E4" w:rsidP="00DF0630">
            <w:pPr>
              <w:pStyle w:val="a4"/>
              <w:tabs>
                <w:tab w:val="left" w:pos="3825"/>
              </w:tabs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B4157C" w:rsidRPr="0099138D" w:rsidRDefault="00B4157C" w:rsidP="005753EA">
            <w:pPr>
              <w:pStyle w:val="10"/>
              <w:jc w:val="right"/>
              <w:rPr>
                <w:sz w:val="22"/>
                <w:szCs w:val="22"/>
                <w:lang w:val="ru-RU"/>
              </w:rPr>
            </w:pPr>
          </w:p>
          <w:p w:rsidR="006823E4" w:rsidRPr="00A369A7" w:rsidRDefault="006823E4" w:rsidP="005753EA">
            <w:pPr>
              <w:pStyle w:val="10"/>
              <w:jc w:val="right"/>
              <w:rPr>
                <w:sz w:val="22"/>
                <w:szCs w:val="22"/>
                <w:lang w:val="ru-RU"/>
              </w:rPr>
            </w:pPr>
            <w:r w:rsidRPr="00A369A7">
              <w:rPr>
                <w:sz w:val="22"/>
                <w:szCs w:val="22"/>
                <w:lang w:val="ru-RU"/>
              </w:rPr>
              <w:t xml:space="preserve">Приложение № </w:t>
            </w:r>
            <w:r w:rsidR="008322BB" w:rsidRPr="00A369A7">
              <w:rPr>
                <w:sz w:val="22"/>
                <w:szCs w:val="22"/>
                <w:lang w:val="ru-RU"/>
              </w:rPr>
              <w:t>Р</w:t>
            </w:r>
            <w:r w:rsidRPr="00A369A7">
              <w:rPr>
                <w:sz w:val="22"/>
                <w:szCs w:val="22"/>
                <w:lang w:val="ru-RU"/>
              </w:rPr>
              <w:t>ДУ</w:t>
            </w:r>
            <w:r w:rsidR="00A16577" w:rsidRPr="00A369A7">
              <w:rPr>
                <w:sz w:val="22"/>
                <w:szCs w:val="22"/>
                <w:lang w:val="ru-RU"/>
              </w:rPr>
              <w:t>–</w:t>
            </w:r>
            <w:r w:rsidR="008322BB" w:rsidRPr="00A369A7">
              <w:rPr>
                <w:sz w:val="22"/>
                <w:szCs w:val="22"/>
                <w:lang w:val="ru-RU"/>
              </w:rPr>
              <w:t>3</w:t>
            </w:r>
            <w:r w:rsidR="00A16577" w:rsidRPr="00A369A7">
              <w:rPr>
                <w:sz w:val="22"/>
                <w:szCs w:val="22"/>
                <w:lang w:val="ru-RU"/>
              </w:rPr>
              <w:t>–</w:t>
            </w:r>
            <w:r w:rsidR="00DE5148" w:rsidRPr="00A369A7">
              <w:rPr>
                <w:sz w:val="22"/>
                <w:szCs w:val="22"/>
                <w:lang w:val="ru-RU"/>
              </w:rPr>
              <w:t>8</w:t>
            </w:r>
          </w:p>
          <w:p w:rsidR="006823E4" w:rsidRPr="00A369A7" w:rsidRDefault="006823E4" w:rsidP="00DF0630">
            <w:pPr>
              <w:pStyle w:val="ae"/>
              <w:spacing w:line="360" w:lineRule="auto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:rsidR="00581B34" w:rsidRPr="00A369A7" w:rsidRDefault="00581B34" w:rsidP="00451536">
      <w:pPr>
        <w:pStyle w:val="21"/>
        <w:spacing w:before="240" w:after="120"/>
        <w:jc w:val="center"/>
        <w:rPr>
          <w:b/>
          <w:szCs w:val="22"/>
        </w:rPr>
      </w:pPr>
      <w:r w:rsidRPr="00A369A7">
        <w:rPr>
          <w:b/>
          <w:szCs w:val="22"/>
        </w:rPr>
        <w:t>ИНВЕСТИЦИОННАЯ ДЕКЛАРАЦИЯ</w:t>
      </w:r>
    </w:p>
    <w:p w:rsidR="00451536" w:rsidRPr="00A369A7" w:rsidRDefault="00451536" w:rsidP="00581B34">
      <w:pPr>
        <w:pStyle w:val="21"/>
        <w:spacing w:before="240" w:after="360"/>
        <w:jc w:val="center"/>
        <w:rPr>
          <w:b/>
          <w:szCs w:val="22"/>
        </w:rPr>
      </w:pPr>
      <w:r w:rsidRPr="00A369A7">
        <w:rPr>
          <w:b/>
          <w:szCs w:val="22"/>
        </w:rPr>
        <w:t xml:space="preserve">Стратегия </w:t>
      </w:r>
      <w:r w:rsidR="00B4157C" w:rsidRPr="00A369A7">
        <w:rPr>
          <w:b/>
          <w:szCs w:val="22"/>
        </w:rPr>
        <w:t xml:space="preserve">управления </w:t>
      </w:r>
      <w:r w:rsidRPr="00A369A7">
        <w:rPr>
          <w:b/>
          <w:szCs w:val="22"/>
        </w:rPr>
        <w:t>«</w:t>
      </w:r>
      <w:r w:rsidR="00DE5148" w:rsidRPr="00A369A7">
        <w:rPr>
          <w:b/>
          <w:szCs w:val="22"/>
        </w:rPr>
        <w:t>Российские облигации</w:t>
      </w:r>
      <w:r w:rsidRPr="00A369A7">
        <w:rPr>
          <w:b/>
          <w:szCs w:val="22"/>
        </w:rPr>
        <w:t>»</w:t>
      </w:r>
    </w:p>
    <w:p w:rsidR="00581B34" w:rsidRPr="00A369A7" w:rsidRDefault="00581B34" w:rsidP="00581B34">
      <w:pPr>
        <w:spacing w:line="240" w:lineRule="atLeast"/>
        <w:ind w:firstLine="624"/>
        <w:jc w:val="both"/>
        <w:rPr>
          <w:snapToGrid w:val="0"/>
          <w:color w:val="000000"/>
          <w:sz w:val="22"/>
          <w:szCs w:val="22"/>
        </w:rPr>
      </w:pPr>
      <w:r w:rsidRPr="00A369A7">
        <w:rPr>
          <w:sz w:val="22"/>
          <w:szCs w:val="22"/>
        </w:rPr>
        <w:t>Настоящая Инвестиционная Декларация</w:t>
      </w:r>
      <w:r w:rsidRPr="00A369A7">
        <w:rPr>
          <w:color w:val="000000"/>
          <w:sz w:val="22"/>
          <w:szCs w:val="22"/>
        </w:rPr>
        <w:t xml:space="preserve"> является неотъемлемой частью </w:t>
      </w:r>
      <w:r w:rsidR="00B4157C" w:rsidRPr="00A369A7">
        <w:rPr>
          <w:color w:val="000000"/>
          <w:sz w:val="22"/>
          <w:szCs w:val="22"/>
        </w:rPr>
        <w:t>каждого Д</w:t>
      </w:r>
      <w:r w:rsidRPr="00A369A7">
        <w:rPr>
          <w:color w:val="000000"/>
          <w:sz w:val="22"/>
          <w:szCs w:val="22"/>
        </w:rPr>
        <w:t xml:space="preserve">оговора </w:t>
      </w:r>
      <w:r w:rsidRPr="00A369A7">
        <w:rPr>
          <w:snapToGrid w:val="0"/>
          <w:color w:val="000000"/>
          <w:sz w:val="22"/>
          <w:szCs w:val="22"/>
        </w:rPr>
        <w:t>доверительного управления</w:t>
      </w:r>
      <w:r w:rsidR="00B4157C" w:rsidRPr="00A369A7">
        <w:rPr>
          <w:snapToGrid w:val="0"/>
          <w:color w:val="000000"/>
          <w:sz w:val="22"/>
          <w:szCs w:val="22"/>
        </w:rPr>
        <w:t xml:space="preserve">, для которого </w:t>
      </w:r>
      <w:r w:rsidR="00B4157C" w:rsidRPr="00A369A7">
        <w:rPr>
          <w:bCs/>
          <w:sz w:val="22"/>
          <w:szCs w:val="22"/>
        </w:rPr>
        <w:t>стратегия управления «</w:t>
      </w:r>
      <w:r w:rsidR="00DE5148" w:rsidRPr="00A369A7">
        <w:rPr>
          <w:sz w:val="22"/>
          <w:szCs w:val="22"/>
        </w:rPr>
        <w:t>Российские облигации</w:t>
      </w:r>
      <w:r w:rsidR="00B4157C" w:rsidRPr="00A369A7">
        <w:rPr>
          <w:bCs/>
          <w:sz w:val="22"/>
          <w:szCs w:val="22"/>
        </w:rPr>
        <w:t>»</w:t>
      </w:r>
      <w:r w:rsidR="00B4157C" w:rsidRPr="00A369A7">
        <w:rPr>
          <w:b/>
          <w:bCs/>
          <w:sz w:val="22"/>
          <w:szCs w:val="22"/>
        </w:rPr>
        <w:t xml:space="preserve"> </w:t>
      </w:r>
      <w:r w:rsidR="00B4157C" w:rsidRPr="00A369A7">
        <w:rPr>
          <w:snapToGrid w:val="0"/>
          <w:color w:val="000000"/>
          <w:sz w:val="22"/>
          <w:szCs w:val="22"/>
        </w:rPr>
        <w:t xml:space="preserve"> определена Соглашением о стратегии доверительного управления (Приложение №РДУ</w:t>
      </w:r>
      <w:r w:rsidR="00A16577" w:rsidRPr="00A369A7">
        <w:rPr>
          <w:snapToGrid w:val="0"/>
          <w:color w:val="000000"/>
          <w:sz w:val="22"/>
          <w:szCs w:val="22"/>
        </w:rPr>
        <w:t>–</w:t>
      </w:r>
      <w:r w:rsidR="00B4157C" w:rsidRPr="00A369A7">
        <w:rPr>
          <w:snapToGrid w:val="0"/>
          <w:color w:val="000000"/>
          <w:sz w:val="22"/>
          <w:szCs w:val="22"/>
        </w:rPr>
        <w:t>3 к Регламенту).</w:t>
      </w:r>
      <w:r w:rsidRPr="00A369A7">
        <w:rPr>
          <w:sz w:val="22"/>
          <w:szCs w:val="22"/>
        </w:rPr>
        <w:t xml:space="preserve"> </w:t>
      </w:r>
    </w:p>
    <w:p w:rsidR="005D7AC9" w:rsidRPr="00A369A7" w:rsidRDefault="005D7AC9" w:rsidP="00581B34">
      <w:pPr>
        <w:pStyle w:val="21"/>
        <w:ind w:firstLine="624"/>
        <w:rPr>
          <w:szCs w:val="22"/>
        </w:rPr>
      </w:pPr>
    </w:p>
    <w:p w:rsidR="00581B34" w:rsidRPr="00A369A7" w:rsidRDefault="00581B34" w:rsidP="00581B34">
      <w:pPr>
        <w:pStyle w:val="21"/>
        <w:ind w:firstLine="624"/>
        <w:rPr>
          <w:szCs w:val="22"/>
        </w:rPr>
      </w:pPr>
      <w:r w:rsidRPr="00A369A7">
        <w:rPr>
          <w:szCs w:val="22"/>
        </w:rPr>
        <w:t>Настоящей Инвестиционной декларацией Стороны согласовали следующее:</w:t>
      </w:r>
    </w:p>
    <w:p w:rsidR="005D7AC9" w:rsidRPr="00A369A7" w:rsidRDefault="005D7AC9" w:rsidP="00581B34">
      <w:pPr>
        <w:pStyle w:val="21"/>
        <w:ind w:firstLine="624"/>
        <w:rPr>
          <w:szCs w:val="22"/>
        </w:rPr>
      </w:pPr>
    </w:p>
    <w:p w:rsidR="00581B34" w:rsidRPr="00A369A7" w:rsidRDefault="00581B34" w:rsidP="00581B34">
      <w:pPr>
        <w:pStyle w:val="21"/>
        <w:numPr>
          <w:ilvl w:val="0"/>
          <w:numId w:val="7"/>
        </w:numPr>
        <w:tabs>
          <w:tab w:val="clear" w:pos="1614"/>
          <w:tab w:val="num" w:pos="0"/>
        </w:tabs>
        <w:ind w:left="0" w:right="-45" w:firstLine="0"/>
        <w:rPr>
          <w:szCs w:val="22"/>
        </w:rPr>
      </w:pPr>
      <w:proofErr w:type="gramStart"/>
      <w:r w:rsidRPr="00A369A7">
        <w:rPr>
          <w:szCs w:val="22"/>
        </w:rPr>
        <w:t xml:space="preserve">Целью деятельности Управляющего в рамках Договора </w:t>
      </w:r>
      <w:r w:rsidR="00B4157C" w:rsidRPr="00A369A7">
        <w:rPr>
          <w:szCs w:val="22"/>
        </w:rPr>
        <w:t>доверительного управления (далее</w:t>
      </w:r>
      <w:r w:rsidR="00FA7996" w:rsidRPr="00A369A7">
        <w:rPr>
          <w:szCs w:val="22"/>
        </w:rPr>
        <w:t xml:space="preserve"> </w:t>
      </w:r>
      <w:r w:rsidR="00A16577" w:rsidRPr="00A369A7">
        <w:rPr>
          <w:szCs w:val="22"/>
        </w:rPr>
        <w:t>–</w:t>
      </w:r>
      <w:r w:rsidR="00B4157C" w:rsidRPr="00A369A7">
        <w:rPr>
          <w:szCs w:val="22"/>
        </w:rPr>
        <w:t xml:space="preserve"> Договор) </w:t>
      </w:r>
      <w:r w:rsidRPr="00A369A7">
        <w:rPr>
          <w:szCs w:val="22"/>
        </w:rPr>
        <w:t>является достижение наибольшей коммерческой эффективности управления объектами доверительного управления (переданными Учредителем управления Управляющему по Договору и полученными Управляющим в процессе деятельности по управлению ценными бумагами в рамках Договора) в интересах Учредителя управления  в соответствии с законодательством Российской Федерации, а также условиями Договора.</w:t>
      </w:r>
      <w:proofErr w:type="gramEnd"/>
    </w:p>
    <w:p w:rsidR="001F34E1" w:rsidRPr="00A369A7" w:rsidRDefault="00581B34" w:rsidP="00581B34">
      <w:pPr>
        <w:pStyle w:val="21"/>
        <w:numPr>
          <w:ilvl w:val="0"/>
          <w:numId w:val="7"/>
        </w:numPr>
        <w:tabs>
          <w:tab w:val="clear" w:pos="1614"/>
          <w:tab w:val="num" w:pos="0"/>
        </w:tabs>
        <w:ind w:left="0" w:right="-45" w:firstLine="0"/>
        <w:rPr>
          <w:szCs w:val="22"/>
        </w:rPr>
      </w:pPr>
      <w:r w:rsidRPr="00A369A7">
        <w:rPr>
          <w:szCs w:val="22"/>
        </w:rPr>
        <w:t xml:space="preserve">Управляющий в рамках деятельности по Договору использует стратегию </w:t>
      </w:r>
      <w:r w:rsidR="00B4157C" w:rsidRPr="00A369A7">
        <w:rPr>
          <w:szCs w:val="22"/>
        </w:rPr>
        <w:t xml:space="preserve">управления </w:t>
      </w:r>
      <w:r w:rsidR="001B7F15" w:rsidRPr="00A369A7">
        <w:rPr>
          <w:szCs w:val="22"/>
        </w:rPr>
        <w:t>«</w:t>
      </w:r>
      <w:r w:rsidR="00DE5148" w:rsidRPr="00A369A7">
        <w:rPr>
          <w:szCs w:val="22"/>
        </w:rPr>
        <w:t>Российские облигации</w:t>
      </w:r>
      <w:r w:rsidR="001B7F15" w:rsidRPr="00A369A7">
        <w:rPr>
          <w:szCs w:val="22"/>
        </w:rPr>
        <w:t>»</w:t>
      </w:r>
      <w:r w:rsidR="005D7AC9" w:rsidRPr="00A369A7">
        <w:rPr>
          <w:bCs/>
          <w:szCs w:val="22"/>
        </w:rPr>
        <w:t>.</w:t>
      </w:r>
      <w:r w:rsidR="00E870DF" w:rsidRPr="00A369A7">
        <w:rPr>
          <w:b/>
          <w:bCs/>
          <w:szCs w:val="22"/>
        </w:rPr>
        <w:t xml:space="preserve"> </w:t>
      </w:r>
      <w:r w:rsidR="001F34E1" w:rsidRPr="00A369A7">
        <w:rPr>
          <w:bCs/>
          <w:szCs w:val="22"/>
        </w:rPr>
        <w:t xml:space="preserve">Стратегия </w:t>
      </w:r>
      <w:r w:rsidR="00B4157C" w:rsidRPr="00A369A7">
        <w:rPr>
          <w:bCs/>
          <w:szCs w:val="22"/>
        </w:rPr>
        <w:t xml:space="preserve">управления </w:t>
      </w:r>
      <w:r w:rsidR="001F34E1" w:rsidRPr="00A369A7">
        <w:rPr>
          <w:bCs/>
          <w:szCs w:val="22"/>
        </w:rPr>
        <w:t>«</w:t>
      </w:r>
      <w:r w:rsidR="00DE5148" w:rsidRPr="00A369A7">
        <w:rPr>
          <w:szCs w:val="22"/>
        </w:rPr>
        <w:t>Российские облигации</w:t>
      </w:r>
      <w:r w:rsidR="001F34E1" w:rsidRPr="00A369A7">
        <w:rPr>
          <w:bCs/>
          <w:szCs w:val="22"/>
        </w:rPr>
        <w:t>»</w:t>
      </w:r>
      <w:r w:rsidR="001F34E1" w:rsidRPr="00A369A7">
        <w:rPr>
          <w:b/>
          <w:bCs/>
          <w:szCs w:val="22"/>
        </w:rPr>
        <w:t xml:space="preserve"> </w:t>
      </w:r>
      <w:r w:rsidR="001F34E1" w:rsidRPr="00A369A7">
        <w:rPr>
          <w:bCs/>
          <w:szCs w:val="22"/>
        </w:rPr>
        <w:t xml:space="preserve">является стандартной стратегией управления. </w:t>
      </w:r>
      <w:r w:rsidR="00F538D5" w:rsidRPr="00A369A7">
        <w:rPr>
          <w:bCs/>
          <w:szCs w:val="22"/>
        </w:rPr>
        <w:t>Настоящей</w:t>
      </w:r>
      <w:r w:rsidR="005D7AC9" w:rsidRPr="00A369A7">
        <w:rPr>
          <w:bCs/>
          <w:szCs w:val="22"/>
        </w:rPr>
        <w:t xml:space="preserve"> </w:t>
      </w:r>
      <w:r w:rsidR="00E870DF" w:rsidRPr="00A369A7">
        <w:rPr>
          <w:bCs/>
          <w:szCs w:val="22"/>
        </w:rPr>
        <w:t xml:space="preserve">Инвестиционной декларацией определяются </w:t>
      </w:r>
      <w:r w:rsidR="001F34E1" w:rsidRPr="00A369A7">
        <w:rPr>
          <w:bCs/>
          <w:szCs w:val="22"/>
        </w:rPr>
        <w:t xml:space="preserve">единые правила и принципы формирования состава и структуры активов, находящихся в доверительном управлении для Клиентов, с которыми Управляющим заключены соответствующие договоры, предусматривающие управление по указанной стратегии управления. </w:t>
      </w:r>
    </w:p>
    <w:p w:rsidR="00581B34" w:rsidRPr="00A369A7" w:rsidRDefault="00581B34" w:rsidP="00581B34">
      <w:pPr>
        <w:pStyle w:val="21"/>
        <w:numPr>
          <w:ilvl w:val="0"/>
          <w:numId w:val="7"/>
        </w:numPr>
        <w:tabs>
          <w:tab w:val="clear" w:pos="1614"/>
          <w:tab w:val="num" w:pos="0"/>
        </w:tabs>
        <w:ind w:left="0" w:right="-45" w:firstLine="0"/>
        <w:rPr>
          <w:szCs w:val="22"/>
        </w:rPr>
      </w:pPr>
      <w:r w:rsidRPr="00A369A7">
        <w:rPr>
          <w:szCs w:val="22"/>
        </w:rPr>
        <w:t xml:space="preserve">Управляющий имеет право приобретать при осуществлении деятельности по управлению ценными бумагами объекты доверительного управления, включенные в следующий перечень с учетом требований к структуре объектов доверительного управления, которую обязан поддерживать </w:t>
      </w:r>
      <w:r w:rsidR="00E870DF" w:rsidRPr="00A369A7">
        <w:rPr>
          <w:szCs w:val="22"/>
        </w:rPr>
        <w:t>У</w:t>
      </w:r>
      <w:r w:rsidRPr="00A369A7">
        <w:rPr>
          <w:szCs w:val="22"/>
        </w:rPr>
        <w:t>правляющий в течение всего срока действия Договора:</w:t>
      </w:r>
    </w:p>
    <w:p w:rsidR="00B4157C" w:rsidRPr="00A369A7" w:rsidRDefault="00B4157C" w:rsidP="00581B34">
      <w:pPr>
        <w:pStyle w:val="21"/>
        <w:ind w:firstLine="624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8"/>
        <w:gridCol w:w="4200"/>
      </w:tblGrid>
      <w:tr w:rsidR="00581B34" w:rsidRPr="004722AD" w:rsidTr="00E30066">
        <w:tc>
          <w:tcPr>
            <w:tcW w:w="5628" w:type="dxa"/>
            <w:shd w:val="clear" w:color="auto" w:fill="auto"/>
          </w:tcPr>
          <w:p w:rsidR="00581B34" w:rsidRPr="004722AD" w:rsidRDefault="00581B34" w:rsidP="00E30066">
            <w:pPr>
              <w:pStyle w:val="21"/>
              <w:jc w:val="center"/>
              <w:rPr>
                <w:szCs w:val="22"/>
              </w:rPr>
            </w:pPr>
            <w:r w:rsidRPr="004722AD">
              <w:rPr>
                <w:szCs w:val="22"/>
              </w:rPr>
              <w:t>Объекты доверительного управления</w:t>
            </w:r>
          </w:p>
        </w:tc>
        <w:tc>
          <w:tcPr>
            <w:tcW w:w="4200" w:type="dxa"/>
            <w:shd w:val="clear" w:color="auto" w:fill="auto"/>
          </w:tcPr>
          <w:p w:rsidR="00581B34" w:rsidRPr="004722AD" w:rsidRDefault="00581B34" w:rsidP="00E30066">
            <w:pPr>
              <w:pStyle w:val="21"/>
              <w:jc w:val="center"/>
              <w:rPr>
                <w:szCs w:val="22"/>
              </w:rPr>
            </w:pPr>
            <w:r w:rsidRPr="004722AD">
              <w:rPr>
                <w:szCs w:val="22"/>
              </w:rPr>
              <w:t>Ограничение,  % от стоимости имущества Учредителя управления, находящегося в управлении</w:t>
            </w:r>
          </w:p>
        </w:tc>
      </w:tr>
      <w:tr w:rsidR="0000727E" w:rsidRPr="004722AD" w:rsidTr="00E30066">
        <w:tc>
          <w:tcPr>
            <w:tcW w:w="5628" w:type="dxa"/>
            <w:shd w:val="clear" w:color="auto" w:fill="auto"/>
          </w:tcPr>
          <w:p w:rsidR="0000727E" w:rsidRPr="004722AD" w:rsidRDefault="0000727E" w:rsidP="00C27D8C">
            <w:pPr>
              <w:pStyle w:val="21"/>
              <w:numPr>
                <w:ilvl w:val="1"/>
                <w:numId w:val="7"/>
              </w:numPr>
              <w:rPr>
                <w:szCs w:val="22"/>
              </w:rPr>
            </w:pPr>
            <w:r w:rsidRPr="004722AD">
              <w:rPr>
                <w:szCs w:val="22"/>
              </w:rPr>
              <w:t>Денежные средства</w:t>
            </w:r>
          </w:p>
        </w:tc>
        <w:tc>
          <w:tcPr>
            <w:tcW w:w="4200" w:type="dxa"/>
            <w:shd w:val="clear" w:color="auto" w:fill="auto"/>
          </w:tcPr>
          <w:p w:rsidR="0000727E" w:rsidRPr="004722AD" w:rsidRDefault="0000727E" w:rsidP="00E30066">
            <w:pPr>
              <w:ind w:left="1277"/>
              <w:rPr>
                <w:sz w:val="22"/>
                <w:szCs w:val="22"/>
              </w:rPr>
            </w:pPr>
            <w:r w:rsidRPr="004722AD">
              <w:rPr>
                <w:sz w:val="22"/>
                <w:szCs w:val="22"/>
              </w:rPr>
              <w:t>до 100%</w:t>
            </w:r>
          </w:p>
        </w:tc>
      </w:tr>
      <w:tr w:rsidR="005D5CAF" w:rsidRPr="004722AD" w:rsidTr="00E30066">
        <w:tc>
          <w:tcPr>
            <w:tcW w:w="5628" w:type="dxa"/>
            <w:shd w:val="clear" w:color="auto" w:fill="auto"/>
          </w:tcPr>
          <w:p w:rsidR="005D5CAF" w:rsidRPr="004722AD" w:rsidRDefault="00B67B67" w:rsidP="0099138D">
            <w:pPr>
              <w:pStyle w:val="21"/>
              <w:numPr>
                <w:ilvl w:val="1"/>
                <w:numId w:val="7"/>
              </w:numPr>
              <w:rPr>
                <w:szCs w:val="22"/>
              </w:rPr>
            </w:pPr>
            <w:r w:rsidRPr="004722AD">
              <w:rPr>
                <w:szCs w:val="22"/>
              </w:rPr>
              <w:t>Облигации (в том числе иностранных эмитентов), обращающиеся на организованном рынке ценных бумаг (в соответствии со ст.214.1 НК РФ), входящие в котировальный список российской биржи первого или второго уровня на дату приобретения</w:t>
            </w:r>
          </w:p>
        </w:tc>
        <w:tc>
          <w:tcPr>
            <w:tcW w:w="4200" w:type="dxa"/>
            <w:shd w:val="clear" w:color="auto" w:fill="auto"/>
          </w:tcPr>
          <w:p w:rsidR="005D5CAF" w:rsidRPr="004722AD" w:rsidRDefault="005D5CAF" w:rsidP="001A456C">
            <w:pPr>
              <w:ind w:left="1277"/>
              <w:rPr>
                <w:sz w:val="22"/>
                <w:szCs w:val="22"/>
              </w:rPr>
            </w:pPr>
            <w:r w:rsidRPr="004722AD">
              <w:rPr>
                <w:sz w:val="22"/>
                <w:szCs w:val="22"/>
              </w:rPr>
              <w:t xml:space="preserve">до </w:t>
            </w:r>
            <w:r w:rsidR="001A456C" w:rsidRPr="004722AD">
              <w:rPr>
                <w:sz w:val="22"/>
                <w:szCs w:val="22"/>
              </w:rPr>
              <w:t>10</w:t>
            </w:r>
            <w:r w:rsidRPr="004722AD">
              <w:rPr>
                <w:sz w:val="22"/>
                <w:szCs w:val="22"/>
              </w:rPr>
              <w:t>0%</w:t>
            </w:r>
          </w:p>
        </w:tc>
      </w:tr>
      <w:tr w:rsidR="00B67B67" w:rsidRPr="00A369A7" w:rsidTr="00E30066">
        <w:tc>
          <w:tcPr>
            <w:tcW w:w="5628" w:type="dxa"/>
            <w:shd w:val="clear" w:color="auto" w:fill="auto"/>
          </w:tcPr>
          <w:p w:rsidR="00B67B67" w:rsidRPr="004722AD" w:rsidRDefault="00B67B67" w:rsidP="00B67B67">
            <w:pPr>
              <w:pStyle w:val="21"/>
              <w:numPr>
                <w:ilvl w:val="1"/>
                <w:numId w:val="7"/>
              </w:numPr>
              <w:rPr>
                <w:szCs w:val="22"/>
              </w:rPr>
            </w:pPr>
            <w:r w:rsidRPr="004722AD">
              <w:rPr>
                <w:szCs w:val="22"/>
              </w:rPr>
              <w:t>Ценные бумаги инвестиционных фондов, обращающиеся на организованном рынке ценных бумаг (в соответствии со ст.214.1 НК РФ) и допущенные к торгам российской биржи</w:t>
            </w:r>
          </w:p>
        </w:tc>
        <w:tc>
          <w:tcPr>
            <w:tcW w:w="4200" w:type="dxa"/>
            <w:shd w:val="clear" w:color="auto" w:fill="auto"/>
          </w:tcPr>
          <w:p w:rsidR="00B67B67" w:rsidRPr="00A369A7" w:rsidRDefault="00B67B67" w:rsidP="00136A02">
            <w:pPr>
              <w:ind w:left="1277"/>
              <w:rPr>
                <w:sz w:val="22"/>
                <w:szCs w:val="22"/>
                <w:lang w:val="en-US"/>
              </w:rPr>
            </w:pPr>
            <w:r w:rsidRPr="004722AD">
              <w:rPr>
                <w:sz w:val="22"/>
                <w:szCs w:val="22"/>
              </w:rPr>
              <w:t>до</w:t>
            </w:r>
            <w:r w:rsidRPr="004722AD">
              <w:rPr>
                <w:sz w:val="22"/>
                <w:szCs w:val="22"/>
                <w:lang w:val="en-US"/>
              </w:rPr>
              <w:t xml:space="preserve"> 100%</w:t>
            </w:r>
            <w:bookmarkStart w:id="0" w:name="_GoBack"/>
            <w:bookmarkEnd w:id="0"/>
          </w:p>
        </w:tc>
      </w:tr>
    </w:tbl>
    <w:p w:rsidR="007957FC" w:rsidRPr="00A369A7" w:rsidRDefault="007957FC" w:rsidP="00DC02E6">
      <w:pPr>
        <w:pStyle w:val="ConsPlusNormal"/>
        <w:ind w:firstLine="0"/>
        <w:jc w:val="both"/>
        <w:rPr>
          <w:sz w:val="22"/>
          <w:szCs w:val="22"/>
        </w:rPr>
      </w:pPr>
    </w:p>
    <w:p w:rsidR="00DC02E6" w:rsidRPr="00A369A7" w:rsidRDefault="00B4157C" w:rsidP="00FA7996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spacing w:after="240"/>
        <w:ind w:left="0" w:right="-45" w:firstLine="0"/>
        <w:rPr>
          <w:szCs w:val="22"/>
        </w:rPr>
      </w:pPr>
      <w:r w:rsidRPr="00A369A7">
        <w:rPr>
          <w:szCs w:val="22"/>
        </w:rPr>
        <w:t xml:space="preserve">Инвестиционные показатели стратегии управления </w:t>
      </w:r>
      <w:r w:rsidRPr="00A369A7">
        <w:rPr>
          <w:bCs/>
          <w:szCs w:val="22"/>
        </w:rPr>
        <w:t>«</w:t>
      </w:r>
      <w:r w:rsidR="00DE5148" w:rsidRPr="00A369A7">
        <w:rPr>
          <w:szCs w:val="22"/>
        </w:rPr>
        <w:t>Российские облигации</w:t>
      </w:r>
      <w:r w:rsidRPr="00A369A7">
        <w:rPr>
          <w:bCs/>
          <w:szCs w:val="22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4157C" w:rsidRPr="00A369A7" w:rsidTr="00C25EC7">
        <w:tc>
          <w:tcPr>
            <w:tcW w:w="4927" w:type="dxa"/>
            <w:shd w:val="clear" w:color="auto" w:fill="auto"/>
          </w:tcPr>
          <w:p w:rsidR="00B4157C" w:rsidRPr="00A369A7" w:rsidRDefault="00B4157C" w:rsidP="00C25EC7">
            <w:pPr>
              <w:pStyle w:val="21"/>
              <w:ind w:right="-45"/>
              <w:rPr>
                <w:szCs w:val="22"/>
              </w:rPr>
            </w:pPr>
            <w:r w:rsidRPr="00A369A7">
              <w:rPr>
                <w:szCs w:val="22"/>
              </w:rPr>
              <w:t>Показатель</w:t>
            </w:r>
          </w:p>
        </w:tc>
        <w:tc>
          <w:tcPr>
            <w:tcW w:w="4927" w:type="dxa"/>
            <w:shd w:val="clear" w:color="auto" w:fill="auto"/>
          </w:tcPr>
          <w:p w:rsidR="00B4157C" w:rsidRPr="00A369A7" w:rsidRDefault="00B4157C" w:rsidP="00C25EC7">
            <w:pPr>
              <w:pStyle w:val="21"/>
              <w:ind w:right="-45"/>
              <w:rPr>
                <w:szCs w:val="22"/>
              </w:rPr>
            </w:pPr>
            <w:r w:rsidRPr="00A369A7">
              <w:rPr>
                <w:szCs w:val="22"/>
              </w:rPr>
              <w:t>Значение</w:t>
            </w:r>
          </w:p>
        </w:tc>
      </w:tr>
      <w:tr w:rsidR="00B4157C" w:rsidRPr="00A369A7" w:rsidTr="00C25EC7">
        <w:tc>
          <w:tcPr>
            <w:tcW w:w="4927" w:type="dxa"/>
            <w:shd w:val="clear" w:color="auto" w:fill="auto"/>
          </w:tcPr>
          <w:p w:rsidR="00B4157C" w:rsidRPr="00A369A7" w:rsidRDefault="00C60C91" w:rsidP="0000727E">
            <w:pPr>
              <w:pStyle w:val="21"/>
              <w:ind w:right="-45"/>
              <w:jc w:val="left"/>
              <w:rPr>
                <w:szCs w:val="22"/>
              </w:rPr>
            </w:pPr>
            <w:r w:rsidRPr="00A369A7">
              <w:rPr>
                <w:szCs w:val="22"/>
              </w:rPr>
              <w:t>Стандартный инвестиционный профиль Клиента</w:t>
            </w:r>
          </w:p>
        </w:tc>
        <w:tc>
          <w:tcPr>
            <w:tcW w:w="4927" w:type="dxa"/>
            <w:shd w:val="clear" w:color="auto" w:fill="auto"/>
          </w:tcPr>
          <w:p w:rsidR="00B4157C" w:rsidRPr="00A369A7" w:rsidRDefault="00DE5148" w:rsidP="006675FC">
            <w:pPr>
              <w:pStyle w:val="21"/>
              <w:ind w:right="-45"/>
              <w:rPr>
                <w:szCs w:val="22"/>
              </w:rPr>
            </w:pPr>
            <w:r w:rsidRPr="00A369A7">
              <w:rPr>
                <w:szCs w:val="22"/>
              </w:rPr>
              <w:t>К</w:t>
            </w:r>
            <w:r w:rsidR="006675FC" w:rsidRPr="00A369A7">
              <w:rPr>
                <w:szCs w:val="22"/>
              </w:rPr>
              <w:t>онсервативный</w:t>
            </w:r>
          </w:p>
        </w:tc>
      </w:tr>
      <w:tr w:rsidR="00B4157C" w:rsidRPr="00A369A7" w:rsidTr="00C25EC7">
        <w:tc>
          <w:tcPr>
            <w:tcW w:w="4927" w:type="dxa"/>
            <w:shd w:val="clear" w:color="auto" w:fill="auto"/>
          </w:tcPr>
          <w:p w:rsidR="00B4157C" w:rsidRPr="00A369A7" w:rsidRDefault="00C60C91" w:rsidP="00C25EC7">
            <w:pPr>
              <w:pStyle w:val="21"/>
              <w:ind w:right="-45"/>
              <w:rPr>
                <w:szCs w:val="22"/>
              </w:rPr>
            </w:pPr>
            <w:r w:rsidRPr="00A369A7">
              <w:rPr>
                <w:szCs w:val="22"/>
              </w:rPr>
              <w:t>Инвестиционный горизонт</w:t>
            </w:r>
          </w:p>
        </w:tc>
        <w:tc>
          <w:tcPr>
            <w:tcW w:w="4927" w:type="dxa"/>
            <w:shd w:val="clear" w:color="auto" w:fill="auto"/>
          </w:tcPr>
          <w:p w:rsidR="00B4157C" w:rsidRPr="00A369A7" w:rsidRDefault="005B41B5" w:rsidP="00C25EC7">
            <w:pPr>
              <w:pStyle w:val="21"/>
              <w:ind w:right="-45"/>
              <w:rPr>
                <w:szCs w:val="22"/>
              </w:rPr>
            </w:pPr>
            <w:r w:rsidRPr="00A369A7">
              <w:rPr>
                <w:szCs w:val="22"/>
              </w:rPr>
              <w:t>1 год</w:t>
            </w:r>
          </w:p>
        </w:tc>
      </w:tr>
    </w:tbl>
    <w:p w:rsidR="00FF1B25" w:rsidRPr="00A369A7" w:rsidRDefault="002D17C6" w:rsidP="00FA7996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spacing w:before="240"/>
        <w:ind w:left="0" w:right="-45" w:firstLine="0"/>
        <w:rPr>
          <w:rFonts w:eastAsia="Batang"/>
          <w:szCs w:val="22"/>
        </w:rPr>
      </w:pPr>
      <w:r w:rsidRPr="00A369A7">
        <w:rPr>
          <w:rFonts w:eastAsia="Batang"/>
          <w:szCs w:val="22"/>
        </w:rPr>
        <w:lastRenderedPageBreak/>
        <w:t xml:space="preserve">Если иное не определено настоящей Инвестиционной декларацией, </w:t>
      </w:r>
      <w:r w:rsidR="00FF1B25" w:rsidRPr="00A369A7">
        <w:rPr>
          <w:rFonts w:eastAsia="Batang"/>
          <w:szCs w:val="22"/>
        </w:rPr>
        <w:t xml:space="preserve">Управляющий раскрывает </w:t>
      </w:r>
      <w:r w:rsidRPr="00A369A7">
        <w:rPr>
          <w:rFonts w:eastAsia="Batang"/>
          <w:szCs w:val="22"/>
        </w:rPr>
        <w:t xml:space="preserve">иную </w:t>
      </w:r>
      <w:r w:rsidR="00FF1B25" w:rsidRPr="00A369A7">
        <w:rPr>
          <w:rFonts w:eastAsia="Batang"/>
          <w:szCs w:val="22"/>
        </w:rPr>
        <w:t>информацию</w:t>
      </w:r>
      <w:r w:rsidRPr="00A369A7">
        <w:rPr>
          <w:rFonts w:eastAsia="Batang"/>
          <w:szCs w:val="22"/>
        </w:rPr>
        <w:t>,</w:t>
      </w:r>
      <w:r w:rsidR="00FF1B25" w:rsidRPr="00A369A7">
        <w:rPr>
          <w:rFonts w:eastAsia="Batang"/>
          <w:szCs w:val="22"/>
        </w:rPr>
        <w:t xml:space="preserve"> </w:t>
      </w:r>
      <w:r w:rsidRPr="00A369A7">
        <w:rPr>
          <w:rFonts w:eastAsia="Batang"/>
          <w:szCs w:val="22"/>
        </w:rPr>
        <w:t>применительно к указанной стратегии управления, в порядке, установленном Регламентом.</w:t>
      </w:r>
    </w:p>
    <w:p w:rsidR="00B30353" w:rsidRPr="00A369A7" w:rsidRDefault="00E870DF" w:rsidP="00B30353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ind w:left="0" w:right="-45" w:firstLine="0"/>
        <w:rPr>
          <w:rFonts w:eastAsia="Batang"/>
          <w:szCs w:val="22"/>
        </w:rPr>
      </w:pPr>
      <w:r w:rsidRPr="00A369A7">
        <w:rPr>
          <w:szCs w:val="22"/>
        </w:rPr>
        <w:t>У</w:t>
      </w:r>
      <w:r w:rsidR="00581B34" w:rsidRPr="00A369A7">
        <w:rPr>
          <w:szCs w:val="22"/>
        </w:rPr>
        <w:t xml:space="preserve">правляющий в </w:t>
      </w:r>
      <w:r w:rsidR="005D7AC9" w:rsidRPr="00A369A7">
        <w:rPr>
          <w:szCs w:val="22"/>
        </w:rPr>
        <w:t>рамках деятельности по Договору</w:t>
      </w:r>
      <w:r w:rsidR="00581B34" w:rsidRPr="00A369A7">
        <w:rPr>
          <w:szCs w:val="22"/>
        </w:rPr>
        <w:t xml:space="preserve"> вправе заключать с принадле</w:t>
      </w:r>
      <w:r w:rsidR="005D7AC9" w:rsidRPr="00A369A7">
        <w:rPr>
          <w:szCs w:val="22"/>
        </w:rPr>
        <w:softHyphen/>
      </w:r>
      <w:r w:rsidR="00581B34" w:rsidRPr="00A369A7">
        <w:rPr>
          <w:szCs w:val="22"/>
        </w:rPr>
        <w:t>жа</w:t>
      </w:r>
      <w:r w:rsidR="005D7AC9" w:rsidRPr="00A369A7">
        <w:rPr>
          <w:szCs w:val="22"/>
        </w:rPr>
        <w:softHyphen/>
      </w:r>
      <w:r w:rsidR="00581B34" w:rsidRPr="00A369A7">
        <w:rPr>
          <w:szCs w:val="22"/>
        </w:rPr>
        <w:t xml:space="preserve">щими Учредителю управления объектами доверительного управления все виды сделок, предусмотренные законодательством (включая, </w:t>
      </w:r>
      <w:proofErr w:type="gramStart"/>
      <w:r w:rsidR="00581B34" w:rsidRPr="00A369A7">
        <w:rPr>
          <w:szCs w:val="22"/>
        </w:rPr>
        <w:t>но</w:t>
      </w:r>
      <w:proofErr w:type="gramEnd"/>
      <w:r w:rsidR="00581B34" w:rsidRPr="00A369A7">
        <w:rPr>
          <w:szCs w:val="22"/>
        </w:rPr>
        <w:t xml:space="preserve"> не ограничиваясь, биржевые, внебиржевые сделки, сделки РЕПО, переговорные, адресные сделки, если данный вид сделок допустим для объектов доверительного управления, составляющих Перечень (состав) объектов доверительного управления, которые вправе приобретать </w:t>
      </w:r>
      <w:r w:rsidRPr="00A369A7">
        <w:rPr>
          <w:szCs w:val="22"/>
        </w:rPr>
        <w:t>У</w:t>
      </w:r>
      <w:r w:rsidR="00581B34" w:rsidRPr="00A369A7">
        <w:rPr>
          <w:szCs w:val="22"/>
        </w:rPr>
        <w:t>правляющий при осуществлении деятельности по управлению ценными бумагами, п.2 настоящей Инвестиционной декларации).</w:t>
      </w:r>
    </w:p>
    <w:p w:rsidR="00B4157C" w:rsidRPr="00A369A7" w:rsidRDefault="00B4157C" w:rsidP="00B4157C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ind w:left="0" w:right="-45" w:firstLine="0"/>
        <w:rPr>
          <w:rFonts w:eastAsia="Batang"/>
          <w:szCs w:val="22"/>
        </w:rPr>
      </w:pPr>
      <w:proofErr w:type="gramStart"/>
      <w:r w:rsidRPr="00A369A7">
        <w:rPr>
          <w:rFonts w:cs="Arial"/>
          <w:color w:val="000000"/>
          <w:szCs w:val="22"/>
        </w:rPr>
        <w:t>В случае подачи заявки на организованных торгах на заключение договоров, объектом которых являются ценные бумаги, за счет имущества нескольких клиентов денежные обязательства, вытекающие из таких договоров, исполняются за счет или в пользу каждого из указанных клиентов в объеме, который определяется исходя из средней цены ценной бумаги, взвешенной по количеству ценных бумаг, приобретаемых или отчуждаемых по договорам, заключенным на основании указанной</w:t>
      </w:r>
      <w:proofErr w:type="gramEnd"/>
      <w:r w:rsidRPr="00A369A7">
        <w:rPr>
          <w:rFonts w:cs="Arial"/>
          <w:color w:val="000000"/>
          <w:szCs w:val="22"/>
        </w:rPr>
        <w:t xml:space="preserve"> заявки.</w:t>
      </w:r>
      <w:bookmarkStart w:id="1" w:name="dst100031"/>
      <w:bookmarkEnd w:id="1"/>
    </w:p>
    <w:p w:rsidR="00B4157C" w:rsidRPr="00A369A7" w:rsidRDefault="00B4157C" w:rsidP="00B4157C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ind w:left="0" w:right="-45" w:firstLine="0"/>
        <w:rPr>
          <w:rFonts w:eastAsia="Batang"/>
          <w:szCs w:val="22"/>
        </w:rPr>
      </w:pPr>
      <w:proofErr w:type="gramStart"/>
      <w:r w:rsidRPr="00A369A7">
        <w:rPr>
          <w:rFonts w:cs="Arial"/>
          <w:color w:val="000000"/>
          <w:szCs w:val="22"/>
        </w:rPr>
        <w:t>В случае заключения договора, объектом которого являются ценные бумаги, за счет имущества нескольких клиентов не на организованных торгах денежные обязательства по такому договору исполняются за счет или в пользу каждого из указанных клиентов в объеме, который определяется исходя из цены одной ценной бумаги, рассчитанной исходя из цены договора и количества приобретаемых или отчуждаемых ценных бумаг по этому договору.</w:t>
      </w:r>
      <w:bookmarkStart w:id="2" w:name="dst100032"/>
      <w:bookmarkEnd w:id="2"/>
      <w:proofErr w:type="gramEnd"/>
    </w:p>
    <w:p w:rsidR="00B4157C" w:rsidRPr="00A369A7" w:rsidRDefault="00B4157C" w:rsidP="00B4157C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ind w:left="0" w:right="-45" w:firstLine="0"/>
        <w:rPr>
          <w:rFonts w:eastAsia="Batang"/>
          <w:szCs w:val="22"/>
        </w:rPr>
      </w:pPr>
      <w:r w:rsidRPr="00A369A7">
        <w:rPr>
          <w:rFonts w:cs="Arial"/>
          <w:color w:val="000000"/>
          <w:szCs w:val="22"/>
        </w:rPr>
        <w:t>Договор, являющийся производным финансовым инструментом, может быть заключен только за счет одного клиента. При этом допускается заключение такого договора управляющим на организованных торгах на основании заявки, поданной в интересах нескольких клиентов, на заключение нескольких договоров, являющихся производными финансовыми инструментами, за счет нескольких клиентов.</w:t>
      </w:r>
      <w:bookmarkStart w:id="3" w:name="dst100033"/>
      <w:bookmarkEnd w:id="3"/>
    </w:p>
    <w:p w:rsidR="00B4157C" w:rsidRPr="00A369A7" w:rsidRDefault="00B4157C" w:rsidP="00B4157C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ind w:left="0" w:right="-45" w:firstLine="0"/>
        <w:rPr>
          <w:rFonts w:eastAsia="Batang"/>
          <w:szCs w:val="22"/>
        </w:rPr>
      </w:pPr>
      <w:r w:rsidRPr="00A369A7">
        <w:rPr>
          <w:rFonts w:cs="Arial"/>
          <w:color w:val="000000"/>
          <w:szCs w:val="22"/>
        </w:rPr>
        <w:t>Приобретение одной ценной бумаги или заключение договора, являющегося производным финансовым инструментом, за счет имущества нескольких клиентов не допускается, за исключением случая, когда имущество этих клиентов, находящееся в доверительном управлении, принадлежит им на праве общей собственности.</w:t>
      </w:r>
      <w:bookmarkStart w:id="4" w:name="dst100034"/>
      <w:bookmarkEnd w:id="4"/>
    </w:p>
    <w:p w:rsidR="00FF1B25" w:rsidRPr="00A369A7" w:rsidRDefault="00B4157C" w:rsidP="00FF1B25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ind w:left="0" w:right="-45" w:firstLine="0"/>
        <w:rPr>
          <w:rFonts w:eastAsia="Batang"/>
          <w:szCs w:val="22"/>
        </w:rPr>
      </w:pPr>
      <w:r w:rsidRPr="00A369A7">
        <w:rPr>
          <w:rFonts w:cs="Arial"/>
          <w:color w:val="000000"/>
          <w:szCs w:val="22"/>
        </w:rPr>
        <w:t>Приобретение векселей, закладных и складских свидетельств за счет имущества, находящегося в доверительном управлении, не допускается.</w:t>
      </w:r>
      <w:bookmarkStart w:id="5" w:name="dst100035"/>
      <w:bookmarkEnd w:id="5"/>
    </w:p>
    <w:p w:rsidR="00581B34" w:rsidRPr="00A369A7" w:rsidRDefault="00B4157C" w:rsidP="002D17C6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ind w:left="0" w:right="-45" w:firstLine="0"/>
        <w:rPr>
          <w:szCs w:val="22"/>
        </w:rPr>
      </w:pPr>
      <w:r w:rsidRPr="00A369A7">
        <w:rPr>
          <w:rFonts w:cs="Arial"/>
          <w:color w:val="000000"/>
          <w:szCs w:val="22"/>
        </w:rPr>
        <w:t xml:space="preserve">При управлении ценными бумагами и денежными средствами нескольких клиентов </w:t>
      </w:r>
      <w:r w:rsidR="00FF1B25" w:rsidRPr="00A369A7">
        <w:rPr>
          <w:rFonts w:cs="Arial"/>
          <w:color w:val="000000"/>
          <w:szCs w:val="22"/>
        </w:rPr>
        <w:t>У</w:t>
      </w:r>
      <w:r w:rsidRPr="00A369A7">
        <w:rPr>
          <w:rFonts w:cs="Arial"/>
          <w:color w:val="000000"/>
          <w:szCs w:val="22"/>
        </w:rPr>
        <w:t xml:space="preserve">правляющий предпринимает меры по недопущению установления приоритета интересов одного или нескольких клиентов над интересами других клиентов. Указанные меры определены во внутренних документах </w:t>
      </w:r>
      <w:r w:rsidR="00FF1B25" w:rsidRPr="00A369A7">
        <w:rPr>
          <w:rFonts w:cs="Arial"/>
          <w:color w:val="000000"/>
          <w:szCs w:val="22"/>
        </w:rPr>
        <w:t>У</w:t>
      </w:r>
      <w:r w:rsidRPr="00A369A7">
        <w:rPr>
          <w:rFonts w:cs="Arial"/>
          <w:color w:val="000000"/>
          <w:szCs w:val="22"/>
        </w:rPr>
        <w:t>правляющ</w:t>
      </w:r>
      <w:r w:rsidR="00FF1B25" w:rsidRPr="00A369A7">
        <w:rPr>
          <w:rFonts w:cs="Arial"/>
          <w:color w:val="000000"/>
          <w:szCs w:val="22"/>
        </w:rPr>
        <w:t>его</w:t>
      </w:r>
      <w:r w:rsidR="001704B4" w:rsidRPr="00A369A7">
        <w:rPr>
          <w:rFonts w:cs="Arial"/>
          <w:color w:val="000000"/>
          <w:szCs w:val="22"/>
        </w:rPr>
        <w:t xml:space="preserve"> и доведены до сведения клиентов</w:t>
      </w:r>
      <w:r w:rsidRPr="00A369A7">
        <w:rPr>
          <w:rFonts w:cs="Arial"/>
          <w:color w:val="000000"/>
          <w:szCs w:val="22"/>
        </w:rPr>
        <w:t>.</w:t>
      </w:r>
    </w:p>
    <w:p w:rsidR="009D0BBC" w:rsidRPr="00A369A7" w:rsidRDefault="009D0BBC" w:rsidP="009D0BBC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ind w:left="0" w:right="-45" w:firstLine="0"/>
        <w:rPr>
          <w:rFonts w:eastAsia="Batang"/>
          <w:szCs w:val="22"/>
        </w:rPr>
      </w:pPr>
      <w:r w:rsidRPr="00A369A7">
        <w:rPr>
          <w:rFonts w:eastAsia="Batang"/>
          <w:szCs w:val="22"/>
        </w:rPr>
        <w:t>Ожидаемая доходность Клиента, указываемая им при определении инвестиционного профиля, не накладывает на Управляющего обязанности по ее достижению и не является гарантией для Клиента.</w:t>
      </w:r>
    </w:p>
    <w:p w:rsidR="00541822" w:rsidRPr="00A369A7" w:rsidRDefault="00541822" w:rsidP="00541822">
      <w:pPr>
        <w:pStyle w:val="21"/>
        <w:numPr>
          <w:ilvl w:val="0"/>
          <w:numId w:val="7"/>
        </w:numPr>
        <w:tabs>
          <w:tab w:val="clear" w:pos="1614"/>
          <w:tab w:val="num" w:pos="709"/>
        </w:tabs>
        <w:ind w:left="0" w:right="-45" w:firstLine="0"/>
        <w:rPr>
          <w:rFonts w:cs="Arial"/>
          <w:color w:val="000000"/>
          <w:szCs w:val="22"/>
        </w:rPr>
      </w:pPr>
      <w:r w:rsidRPr="00A369A7">
        <w:rPr>
          <w:rFonts w:cs="Arial"/>
          <w:color w:val="000000"/>
          <w:szCs w:val="22"/>
        </w:rPr>
        <w:t>Учредитель управления понимает, что совершение сделок на финансовых рынках является рискованным мероприятием, участие в котором может привести к потере части или всех инвестиционных средств в результате осуществления деятельности по управлению объектами Д.У. В соответствии с Декларацией о рисках (Приложение №</w:t>
      </w:r>
      <w:proofErr w:type="gramStart"/>
      <w:r w:rsidRPr="00A369A7">
        <w:rPr>
          <w:rFonts w:cs="Arial"/>
          <w:color w:val="000000"/>
          <w:szCs w:val="22"/>
        </w:rPr>
        <w:t>РДУ</w:t>
      </w:r>
      <w:r w:rsidR="00A16577" w:rsidRPr="00A369A7">
        <w:rPr>
          <w:rFonts w:cs="Arial"/>
          <w:color w:val="000000"/>
          <w:szCs w:val="22"/>
        </w:rPr>
        <w:t>–</w:t>
      </w:r>
      <w:r w:rsidRPr="00A369A7">
        <w:rPr>
          <w:rFonts w:cs="Arial"/>
          <w:color w:val="000000"/>
          <w:szCs w:val="22"/>
        </w:rPr>
        <w:t xml:space="preserve">13) </w:t>
      </w:r>
      <w:proofErr w:type="gramEnd"/>
      <w:r w:rsidRPr="00A369A7">
        <w:rPr>
          <w:rFonts w:cs="Arial"/>
          <w:color w:val="000000"/>
          <w:szCs w:val="22"/>
        </w:rPr>
        <w:t>Учредитель управления признает и снимает с Управляющего всякую ответственность возникновения этих рисков</w:t>
      </w:r>
      <w:r w:rsidR="001D1DD8" w:rsidRPr="00A369A7">
        <w:rPr>
          <w:rFonts w:cs="Arial"/>
          <w:color w:val="000000"/>
          <w:szCs w:val="22"/>
        </w:rPr>
        <w:t>.</w:t>
      </w:r>
    </w:p>
    <w:p w:rsidR="00541822" w:rsidRPr="00A369A7" w:rsidRDefault="00541822" w:rsidP="00541822">
      <w:pPr>
        <w:shd w:val="clear" w:color="auto" w:fill="FFFFFF"/>
        <w:ind w:right="23"/>
        <w:jc w:val="both"/>
        <w:rPr>
          <w:sz w:val="22"/>
          <w:szCs w:val="22"/>
        </w:rPr>
      </w:pPr>
      <w:r w:rsidRPr="00A369A7">
        <w:rPr>
          <w:sz w:val="22"/>
          <w:szCs w:val="22"/>
        </w:rPr>
        <w:t>15. Результаты деятельности Управляющего по управлению ценными бумагами в прошлом не определяют доходы Учредителя управления в будущем.</w:t>
      </w:r>
    </w:p>
    <w:p w:rsidR="00DC02E6" w:rsidRPr="0099138D" w:rsidRDefault="00541822" w:rsidP="00541822">
      <w:pPr>
        <w:shd w:val="clear" w:color="auto" w:fill="FFFFFF"/>
        <w:ind w:right="23"/>
        <w:jc w:val="both"/>
        <w:rPr>
          <w:sz w:val="22"/>
          <w:szCs w:val="22"/>
        </w:rPr>
      </w:pPr>
      <w:r w:rsidRPr="00A369A7">
        <w:rPr>
          <w:sz w:val="22"/>
          <w:szCs w:val="22"/>
        </w:rPr>
        <w:t>16.  Финансовый успех других лиц не гарантирует достижение таких же результатов для Учредителя управления.</w:t>
      </w:r>
    </w:p>
    <w:sectPr w:rsidR="00DC02E6" w:rsidRPr="0099138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99E" w:rsidRDefault="00F5399E" w:rsidP="00377450">
      <w:r>
        <w:separator/>
      </w:r>
    </w:p>
  </w:endnote>
  <w:endnote w:type="continuationSeparator" w:id="0">
    <w:p w:rsidR="00F5399E" w:rsidRDefault="00F5399E" w:rsidP="0037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77" w:rsidRDefault="002C797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2C7977" w:rsidRDefault="002C7977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77" w:rsidRDefault="002C797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722AD">
      <w:rPr>
        <w:rStyle w:val="ac"/>
        <w:noProof/>
      </w:rPr>
      <w:t>2</w:t>
    </w:r>
    <w:r>
      <w:rPr>
        <w:rStyle w:val="ac"/>
      </w:rPr>
      <w:fldChar w:fldCharType="end"/>
    </w:r>
  </w:p>
  <w:p w:rsidR="007D404E" w:rsidRDefault="004722AD" w:rsidP="007D404E">
    <w:pPr>
      <w:pStyle w:val="ab"/>
      <w:pBdr>
        <w:top w:val="single" w:sz="4" w:space="1" w:color="auto"/>
      </w:pBdr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61.1pt;margin-top:803.7pt;width:1in;height:27pt;z-index:251658752;mso-position-horizontal-relative:page;mso-position-vertical-relative:page">
          <v:imagedata r:id="rId1" o:title="" grayscale="t" bilevel="t"/>
          <w10:wrap type="square" anchorx="page" anchory="page"/>
        </v:shape>
        <o:OLEObject Type="Embed" ProgID="CorelDRAW.Graphic.9" ShapeID="_x0000_s2051" DrawAspect="Content" ObjectID="_1635327092" r:id="rId2"/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77" w:rsidRDefault="004722AD" w:rsidP="002C7977">
    <w:pPr>
      <w:pStyle w:val="ab"/>
      <w:pBdr>
        <w:top w:val="single" w:sz="4" w:space="1" w:color="auto"/>
      </w:pBdr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61.1pt;margin-top:803.7pt;width:1in;height:27pt;z-index:251657728;mso-position-horizontal-relative:page;mso-position-vertical-relative:page">
          <v:imagedata r:id="rId1" o:title="" grayscale="t" bilevel="t"/>
          <w10:wrap type="square" anchorx="page" anchory="page"/>
        </v:shape>
        <o:OLEObject Type="Embed" ProgID="CorelDRAW.Graphic.9" ShapeID="_x0000_s2050" DrawAspect="Content" ObjectID="_1635327093" r:id="rId2"/>
      </w:pict>
    </w:r>
  </w:p>
  <w:p w:rsidR="002C7977" w:rsidRDefault="004722AD">
    <w:pPr>
      <w:pStyle w:val="ab"/>
    </w:pPr>
    <w:r>
      <w:rPr>
        <w:noProof/>
      </w:rPr>
      <w:pict>
        <v:shape id="_x0000_s2049" type="#_x0000_t75" style="position:absolute;margin-left:261.1pt;margin-top:803.7pt;width:1in;height:27pt;z-index:251656704;mso-position-horizontal-relative:page;mso-position-vertical-relative:page">
          <v:imagedata r:id="rId1" o:title="" grayscale="t" bilevel="t"/>
          <w10:wrap type="square" anchorx="page" anchory="page"/>
        </v:shape>
        <o:OLEObject Type="Embed" ProgID="CorelDRAW.Graphic.9" ShapeID="_x0000_s2049" DrawAspect="Content" ObjectID="_1635327094" r:id="rId3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99E" w:rsidRDefault="00F5399E" w:rsidP="00377450">
      <w:r>
        <w:separator/>
      </w:r>
    </w:p>
  </w:footnote>
  <w:footnote w:type="continuationSeparator" w:id="0">
    <w:p w:rsidR="00F5399E" w:rsidRDefault="00F5399E" w:rsidP="00377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823" w:rsidRDefault="00C52823" w:rsidP="00C52823">
    <w:pPr>
      <w:pStyle w:val="11"/>
      <w:pBdr>
        <w:bottom w:val="single" w:sz="6" w:space="1" w:color="auto"/>
      </w:pBdr>
      <w:ind w:firstLine="0"/>
      <w:jc w:val="center"/>
      <w:rPr>
        <w:sz w:val="18"/>
      </w:rPr>
    </w:pPr>
    <w:r>
      <w:rPr>
        <w:i/>
        <w:iCs/>
        <w:sz w:val="20"/>
      </w:rPr>
      <w:t>Р</w:t>
    </w:r>
    <w:r w:rsidR="00C60C91">
      <w:rPr>
        <w:i/>
        <w:iCs/>
        <w:sz w:val="20"/>
      </w:rPr>
      <w:t xml:space="preserve">егламент осуществления </w:t>
    </w:r>
    <w:r>
      <w:rPr>
        <w:i/>
        <w:iCs/>
        <w:sz w:val="20"/>
      </w:rPr>
      <w:t>АО ИФК «</w:t>
    </w:r>
    <w:proofErr w:type="spellStart"/>
    <w:r>
      <w:rPr>
        <w:i/>
        <w:iCs/>
        <w:sz w:val="20"/>
      </w:rPr>
      <w:t>Солид</w:t>
    </w:r>
    <w:proofErr w:type="spellEnd"/>
    <w:r>
      <w:rPr>
        <w:i/>
        <w:iCs/>
        <w:sz w:val="20"/>
      </w:rPr>
      <w:t>» деятельности по управлению ценными бумагами</w:t>
    </w:r>
  </w:p>
  <w:p w:rsidR="007D404E" w:rsidRDefault="007D404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2BB" w:rsidRDefault="008322BB" w:rsidP="008322BB">
    <w:pPr>
      <w:pStyle w:val="11"/>
      <w:pBdr>
        <w:bottom w:val="single" w:sz="6" w:space="1" w:color="auto"/>
      </w:pBdr>
      <w:ind w:firstLine="0"/>
      <w:jc w:val="center"/>
      <w:rPr>
        <w:sz w:val="18"/>
      </w:rPr>
    </w:pPr>
    <w:r>
      <w:rPr>
        <w:i/>
        <w:iCs/>
        <w:sz w:val="20"/>
      </w:rPr>
      <w:t>Р</w:t>
    </w:r>
    <w:r w:rsidR="00FA2D09">
      <w:rPr>
        <w:i/>
        <w:iCs/>
        <w:sz w:val="20"/>
      </w:rPr>
      <w:t xml:space="preserve">егламент осуществления </w:t>
    </w:r>
    <w:r>
      <w:rPr>
        <w:i/>
        <w:iCs/>
        <w:sz w:val="20"/>
      </w:rPr>
      <w:t>АО ИФК «</w:t>
    </w:r>
    <w:proofErr w:type="spellStart"/>
    <w:r>
      <w:rPr>
        <w:i/>
        <w:iCs/>
        <w:sz w:val="20"/>
      </w:rPr>
      <w:t>Солид</w:t>
    </w:r>
    <w:proofErr w:type="spellEnd"/>
    <w:r>
      <w:rPr>
        <w:i/>
        <w:iCs/>
        <w:sz w:val="20"/>
      </w:rPr>
      <w:t>» деятельности по управлению ценными бумагами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74D3"/>
    <w:multiLevelType w:val="hybridMultilevel"/>
    <w:tmpl w:val="1EFE46C8"/>
    <w:lvl w:ilvl="0" w:tplc="92A099EC">
      <w:numFmt w:val="bullet"/>
      <w:lvlText w:val=""/>
      <w:lvlJc w:val="left"/>
      <w:pPr>
        <w:tabs>
          <w:tab w:val="num" w:pos="1785"/>
        </w:tabs>
        <w:ind w:left="1598" w:firstLine="190"/>
      </w:pPr>
      <w:rPr>
        <w:rFonts w:ascii="Symbol" w:hAnsi="Symbol" w:cs="Helvetic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155F86"/>
    <w:multiLevelType w:val="hybridMultilevel"/>
    <w:tmpl w:val="84C2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F3E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FEB5457"/>
    <w:multiLevelType w:val="hybridMultilevel"/>
    <w:tmpl w:val="C06685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DC6CE5"/>
    <w:multiLevelType w:val="multilevel"/>
    <w:tmpl w:val="DAAC79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5">
    <w:nsid w:val="171246C9"/>
    <w:multiLevelType w:val="multilevel"/>
    <w:tmpl w:val="11C06272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100"/>
        </w:tabs>
        <w:ind w:left="210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75"/>
        </w:tabs>
        <w:ind w:left="24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20"/>
        </w:tabs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25"/>
        </w:tabs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75"/>
        </w:tabs>
        <w:ind w:left="4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920"/>
        </w:tabs>
        <w:ind w:left="4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25"/>
        </w:tabs>
        <w:ind w:left="5625" w:hanging="1800"/>
      </w:pPr>
      <w:rPr>
        <w:rFonts w:hint="default"/>
      </w:rPr>
    </w:lvl>
  </w:abstractNum>
  <w:abstractNum w:abstractNumId="6">
    <w:nsid w:val="26FE16EA"/>
    <w:multiLevelType w:val="hybridMultilevel"/>
    <w:tmpl w:val="4A040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91328"/>
    <w:multiLevelType w:val="multilevel"/>
    <w:tmpl w:val="1FC2DE60"/>
    <w:lvl w:ilvl="0">
      <w:start w:val="4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8">
    <w:nsid w:val="3DBC03C4"/>
    <w:multiLevelType w:val="multilevel"/>
    <w:tmpl w:val="0F52FE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FE61F86"/>
    <w:multiLevelType w:val="multilevel"/>
    <w:tmpl w:val="D80249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350207E"/>
    <w:multiLevelType w:val="multilevel"/>
    <w:tmpl w:val="563A78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45A7C3B"/>
    <w:multiLevelType w:val="hybridMultilevel"/>
    <w:tmpl w:val="8B860190"/>
    <w:lvl w:ilvl="0" w:tplc="92A099EC">
      <w:numFmt w:val="bullet"/>
      <w:lvlText w:val=""/>
      <w:lvlJc w:val="left"/>
      <w:pPr>
        <w:tabs>
          <w:tab w:val="num" w:pos="1065"/>
        </w:tabs>
        <w:ind w:left="878" w:firstLine="190"/>
      </w:pPr>
      <w:rPr>
        <w:rFonts w:ascii="Symbol" w:hAnsi="Symbol" w:cs="Helvetic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2F5D66"/>
    <w:multiLevelType w:val="multilevel"/>
    <w:tmpl w:val="EBEC4A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3">
    <w:nsid w:val="5CBD7B9B"/>
    <w:multiLevelType w:val="multilevel"/>
    <w:tmpl w:val="8D8EFC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4">
    <w:nsid w:val="5CEE563F"/>
    <w:multiLevelType w:val="multilevel"/>
    <w:tmpl w:val="A1EED4F4"/>
    <w:lvl w:ilvl="0">
      <w:start w:val="6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48"/>
        </w:tabs>
        <w:ind w:left="12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52"/>
        </w:tabs>
        <w:ind w:left="1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96"/>
        </w:tabs>
        <w:ind w:left="18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44"/>
        </w:tabs>
        <w:ind w:left="2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48"/>
        </w:tabs>
        <w:ind w:left="3048" w:hanging="1800"/>
      </w:pPr>
      <w:rPr>
        <w:rFonts w:hint="default"/>
      </w:rPr>
    </w:lvl>
  </w:abstractNum>
  <w:abstractNum w:abstractNumId="15">
    <w:nsid w:val="62580397"/>
    <w:multiLevelType w:val="multilevel"/>
    <w:tmpl w:val="EBEC4A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6">
    <w:nsid w:val="62C02869"/>
    <w:multiLevelType w:val="multilevel"/>
    <w:tmpl w:val="908E0A8A"/>
    <w:lvl w:ilvl="0">
      <w:start w:val="1"/>
      <w:numFmt w:val="decimal"/>
      <w:lvlText w:val="%1."/>
      <w:lvlJc w:val="left"/>
      <w:pPr>
        <w:tabs>
          <w:tab w:val="num" w:pos="1614"/>
        </w:tabs>
        <w:ind w:left="1614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0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6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064" w:hanging="1440"/>
      </w:pPr>
      <w:rPr>
        <w:rFonts w:hint="default"/>
        <w:color w:val="auto"/>
      </w:rPr>
    </w:lvl>
  </w:abstractNum>
  <w:abstractNum w:abstractNumId="17">
    <w:nsid w:val="6453194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65506ADC"/>
    <w:multiLevelType w:val="multilevel"/>
    <w:tmpl w:val="6C6CC5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9">
    <w:nsid w:val="697629B6"/>
    <w:multiLevelType w:val="multilevel"/>
    <w:tmpl w:val="D64CAD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AD7A11"/>
    <w:multiLevelType w:val="hybridMultilevel"/>
    <w:tmpl w:val="011A975E"/>
    <w:lvl w:ilvl="0" w:tplc="2DBC06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1">
    <w:nsid w:val="719530F4"/>
    <w:multiLevelType w:val="multilevel"/>
    <w:tmpl w:val="6C6CC5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2">
    <w:nsid w:val="774322C2"/>
    <w:multiLevelType w:val="multilevel"/>
    <w:tmpl w:val="54B40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3">
    <w:nsid w:val="7FEF51B2"/>
    <w:multiLevelType w:val="multilevel"/>
    <w:tmpl w:val="C9A0B7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3"/>
  </w:num>
  <w:num w:numId="4">
    <w:abstractNumId w:val="10"/>
  </w:num>
  <w:num w:numId="5">
    <w:abstractNumId w:val="5"/>
  </w:num>
  <w:num w:numId="6">
    <w:abstractNumId w:val="20"/>
  </w:num>
  <w:num w:numId="7">
    <w:abstractNumId w:val="16"/>
  </w:num>
  <w:num w:numId="8">
    <w:abstractNumId w:val="2"/>
  </w:num>
  <w:num w:numId="9">
    <w:abstractNumId w:val="13"/>
  </w:num>
  <w:num w:numId="10">
    <w:abstractNumId w:val="23"/>
  </w:num>
  <w:num w:numId="11">
    <w:abstractNumId w:val="9"/>
  </w:num>
  <w:num w:numId="12">
    <w:abstractNumId w:val="11"/>
  </w:num>
  <w:num w:numId="13">
    <w:abstractNumId w:val="15"/>
  </w:num>
  <w:num w:numId="14">
    <w:abstractNumId w:val="0"/>
  </w:num>
  <w:num w:numId="15">
    <w:abstractNumId w:val="12"/>
  </w:num>
  <w:num w:numId="16">
    <w:abstractNumId w:val="7"/>
  </w:num>
  <w:num w:numId="17">
    <w:abstractNumId w:val="17"/>
  </w:num>
  <w:num w:numId="18">
    <w:abstractNumId w:val="14"/>
  </w:num>
  <w:num w:numId="19">
    <w:abstractNumId w:val="21"/>
  </w:num>
  <w:num w:numId="20">
    <w:abstractNumId w:val="4"/>
  </w:num>
  <w:num w:numId="21">
    <w:abstractNumId w:val="18"/>
  </w:num>
  <w:num w:numId="22">
    <w:abstractNumId w:val="6"/>
  </w:num>
  <w:num w:numId="23">
    <w:abstractNumId w:val="1"/>
  </w:num>
  <w:num w:numId="24">
    <w:abstractNumId w:val="8"/>
  </w:num>
  <w:num w:numId="25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50"/>
    <w:rsid w:val="0000727E"/>
    <w:rsid w:val="00027B9B"/>
    <w:rsid w:val="00034E5C"/>
    <w:rsid w:val="00040DE9"/>
    <w:rsid w:val="00051917"/>
    <w:rsid w:val="00064AA5"/>
    <w:rsid w:val="0006627F"/>
    <w:rsid w:val="000777AE"/>
    <w:rsid w:val="00084F4C"/>
    <w:rsid w:val="000913BA"/>
    <w:rsid w:val="00094126"/>
    <w:rsid w:val="000A1A39"/>
    <w:rsid w:val="000B3774"/>
    <w:rsid w:val="000B60F9"/>
    <w:rsid w:val="000C6FFC"/>
    <w:rsid w:val="000C7FA3"/>
    <w:rsid w:val="000D26E3"/>
    <w:rsid w:val="000E2E7A"/>
    <w:rsid w:val="0011547F"/>
    <w:rsid w:val="00144AC3"/>
    <w:rsid w:val="00153169"/>
    <w:rsid w:val="00155FA7"/>
    <w:rsid w:val="001704B4"/>
    <w:rsid w:val="00180573"/>
    <w:rsid w:val="00184FA9"/>
    <w:rsid w:val="001A456C"/>
    <w:rsid w:val="001A6C3F"/>
    <w:rsid w:val="001B18FC"/>
    <w:rsid w:val="001B7F15"/>
    <w:rsid w:val="001C3043"/>
    <w:rsid w:val="001D1DD8"/>
    <w:rsid w:val="001F34E1"/>
    <w:rsid w:val="001F57D3"/>
    <w:rsid w:val="001F655A"/>
    <w:rsid w:val="00201467"/>
    <w:rsid w:val="00210579"/>
    <w:rsid w:val="00232807"/>
    <w:rsid w:val="00233D4B"/>
    <w:rsid w:val="002440B8"/>
    <w:rsid w:val="00262828"/>
    <w:rsid w:val="00267C95"/>
    <w:rsid w:val="0029220C"/>
    <w:rsid w:val="002930C5"/>
    <w:rsid w:val="0029542A"/>
    <w:rsid w:val="002B0B21"/>
    <w:rsid w:val="002C1EEB"/>
    <w:rsid w:val="002C7977"/>
    <w:rsid w:val="002D17C6"/>
    <w:rsid w:val="003105C8"/>
    <w:rsid w:val="00321517"/>
    <w:rsid w:val="00333E26"/>
    <w:rsid w:val="003541D6"/>
    <w:rsid w:val="00377450"/>
    <w:rsid w:val="003A5886"/>
    <w:rsid w:val="003B7AF4"/>
    <w:rsid w:val="003C010E"/>
    <w:rsid w:val="003C53BE"/>
    <w:rsid w:val="003E0BA6"/>
    <w:rsid w:val="003E1AB9"/>
    <w:rsid w:val="003E3B8D"/>
    <w:rsid w:val="00402EDE"/>
    <w:rsid w:val="00451536"/>
    <w:rsid w:val="00456BAD"/>
    <w:rsid w:val="004722AD"/>
    <w:rsid w:val="004750C5"/>
    <w:rsid w:val="0049531B"/>
    <w:rsid w:val="004A06D1"/>
    <w:rsid w:val="004A272F"/>
    <w:rsid w:val="004B360D"/>
    <w:rsid w:val="004B473E"/>
    <w:rsid w:val="004B4CCF"/>
    <w:rsid w:val="004C75D3"/>
    <w:rsid w:val="004D7969"/>
    <w:rsid w:val="004E52DE"/>
    <w:rsid w:val="0051361B"/>
    <w:rsid w:val="00515577"/>
    <w:rsid w:val="005166F1"/>
    <w:rsid w:val="00541822"/>
    <w:rsid w:val="00561506"/>
    <w:rsid w:val="00563251"/>
    <w:rsid w:val="00572EDB"/>
    <w:rsid w:val="0057507A"/>
    <w:rsid w:val="005753EA"/>
    <w:rsid w:val="00576B29"/>
    <w:rsid w:val="00581B34"/>
    <w:rsid w:val="005926FD"/>
    <w:rsid w:val="00595062"/>
    <w:rsid w:val="005A0A39"/>
    <w:rsid w:val="005B273D"/>
    <w:rsid w:val="005B2D8E"/>
    <w:rsid w:val="005B41B5"/>
    <w:rsid w:val="005C2211"/>
    <w:rsid w:val="005D1093"/>
    <w:rsid w:val="005D5CAF"/>
    <w:rsid w:val="005D6A65"/>
    <w:rsid w:val="005D7AC9"/>
    <w:rsid w:val="005E1CD6"/>
    <w:rsid w:val="005E1EE3"/>
    <w:rsid w:val="005E77F7"/>
    <w:rsid w:val="005F5A76"/>
    <w:rsid w:val="005F70FF"/>
    <w:rsid w:val="00657EE6"/>
    <w:rsid w:val="006633B6"/>
    <w:rsid w:val="006675FC"/>
    <w:rsid w:val="0067615D"/>
    <w:rsid w:val="006823E4"/>
    <w:rsid w:val="00682917"/>
    <w:rsid w:val="00691467"/>
    <w:rsid w:val="006C293A"/>
    <w:rsid w:val="006D3D74"/>
    <w:rsid w:val="006D6A56"/>
    <w:rsid w:val="006E4247"/>
    <w:rsid w:val="006E6B67"/>
    <w:rsid w:val="0072125A"/>
    <w:rsid w:val="00727AA3"/>
    <w:rsid w:val="007462BB"/>
    <w:rsid w:val="00754017"/>
    <w:rsid w:val="00765266"/>
    <w:rsid w:val="0078047A"/>
    <w:rsid w:val="007957FC"/>
    <w:rsid w:val="007A42F8"/>
    <w:rsid w:val="007C3247"/>
    <w:rsid w:val="007D152E"/>
    <w:rsid w:val="007D404E"/>
    <w:rsid w:val="008322BB"/>
    <w:rsid w:val="00861DD5"/>
    <w:rsid w:val="008A1854"/>
    <w:rsid w:val="008B2027"/>
    <w:rsid w:val="008B443B"/>
    <w:rsid w:val="008F7997"/>
    <w:rsid w:val="009124A7"/>
    <w:rsid w:val="00914891"/>
    <w:rsid w:val="00920F92"/>
    <w:rsid w:val="0096247A"/>
    <w:rsid w:val="00964717"/>
    <w:rsid w:val="00973F1E"/>
    <w:rsid w:val="00977A80"/>
    <w:rsid w:val="0099138D"/>
    <w:rsid w:val="009920C1"/>
    <w:rsid w:val="009D0BBC"/>
    <w:rsid w:val="009D1DD4"/>
    <w:rsid w:val="009D31C4"/>
    <w:rsid w:val="009E590A"/>
    <w:rsid w:val="00A10435"/>
    <w:rsid w:val="00A16577"/>
    <w:rsid w:val="00A16624"/>
    <w:rsid w:val="00A2422E"/>
    <w:rsid w:val="00A3501E"/>
    <w:rsid w:val="00A369A7"/>
    <w:rsid w:val="00A47AAD"/>
    <w:rsid w:val="00A767B5"/>
    <w:rsid w:val="00AA6E5E"/>
    <w:rsid w:val="00AB003F"/>
    <w:rsid w:val="00AD24FE"/>
    <w:rsid w:val="00AF7369"/>
    <w:rsid w:val="00B06884"/>
    <w:rsid w:val="00B11C7C"/>
    <w:rsid w:val="00B12303"/>
    <w:rsid w:val="00B229E8"/>
    <w:rsid w:val="00B279DD"/>
    <w:rsid w:val="00B30353"/>
    <w:rsid w:val="00B407E6"/>
    <w:rsid w:val="00B4157C"/>
    <w:rsid w:val="00B55CC6"/>
    <w:rsid w:val="00B67B67"/>
    <w:rsid w:val="00B811EF"/>
    <w:rsid w:val="00BC3CA1"/>
    <w:rsid w:val="00BD049E"/>
    <w:rsid w:val="00BD707C"/>
    <w:rsid w:val="00BE58CA"/>
    <w:rsid w:val="00BF78BC"/>
    <w:rsid w:val="00C11B1F"/>
    <w:rsid w:val="00C25EC7"/>
    <w:rsid w:val="00C27D8C"/>
    <w:rsid w:val="00C42D69"/>
    <w:rsid w:val="00C47564"/>
    <w:rsid w:val="00C52823"/>
    <w:rsid w:val="00C56EF1"/>
    <w:rsid w:val="00C60C91"/>
    <w:rsid w:val="00C64791"/>
    <w:rsid w:val="00C94415"/>
    <w:rsid w:val="00CB2409"/>
    <w:rsid w:val="00CB36A3"/>
    <w:rsid w:val="00CB5543"/>
    <w:rsid w:val="00CC49BF"/>
    <w:rsid w:val="00CC566B"/>
    <w:rsid w:val="00CE58E9"/>
    <w:rsid w:val="00CF76EF"/>
    <w:rsid w:val="00D70370"/>
    <w:rsid w:val="00D70848"/>
    <w:rsid w:val="00D747B6"/>
    <w:rsid w:val="00D77A09"/>
    <w:rsid w:val="00D96FA6"/>
    <w:rsid w:val="00D97122"/>
    <w:rsid w:val="00DC02E6"/>
    <w:rsid w:val="00DC40A6"/>
    <w:rsid w:val="00DE5148"/>
    <w:rsid w:val="00DF0630"/>
    <w:rsid w:val="00E049C7"/>
    <w:rsid w:val="00E25E9C"/>
    <w:rsid w:val="00E30066"/>
    <w:rsid w:val="00E36990"/>
    <w:rsid w:val="00E65A83"/>
    <w:rsid w:val="00E7009D"/>
    <w:rsid w:val="00E72468"/>
    <w:rsid w:val="00E72B5B"/>
    <w:rsid w:val="00E845FA"/>
    <w:rsid w:val="00E870DF"/>
    <w:rsid w:val="00E9149A"/>
    <w:rsid w:val="00E96E5D"/>
    <w:rsid w:val="00EA6B91"/>
    <w:rsid w:val="00EC56BA"/>
    <w:rsid w:val="00EC5ECA"/>
    <w:rsid w:val="00EE56A3"/>
    <w:rsid w:val="00EF10B3"/>
    <w:rsid w:val="00F02787"/>
    <w:rsid w:val="00F13A5E"/>
    <w:rsid w:val="00F441B5"/>
    <w:rsid w:val="00F4616E"/>
    <w:rsid w:val="00F538D5"/>
    <w:rsid w:val="00F5399E"/>
    <w:rsid w:val="00F57519"/>
    <w:rsid w:val="00F70E1F"/>
    <w:rsid w:val="00F80A1D"/>
    <w:rsid w:val="00F95D45"/>
    <w:rsid w:val="00FA2D09"/>
    <w:rsid w:val="00FA6B61"/>
    <w:rsid w:val="00FA7996"/>
    <w:rsid w:val="00FB346E"/>
    <w:rsid w:val="00FB637E"/>
    <w:rsid w:val="00FC6872"/>
    <w:rsid w:val="00FE2792"/>
    <w:rsid w:val="00FE5FD0"/>
    <w:rsid w:val="00FE7F7C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26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567"/>
      <w:outlineLvl w:val="5"/>
    </w:pPr>
    <w:rPr>
      <w:sz w:val="24"/>
    </w:rPr>
  </w:style>
  <w:style w:type="paragraph" w:styleId="9">
    <w:name w:val="heading 9"/>
    <w:basedOn w:val="a"/>
    <w:next w:val="a"/>
    <w:qFormat/>
    <w:pPr>
      <w:keepNext/>
      <w:tabs>
        <w:tab w:val="left" w:pos="5103"/>
        <w:tab w:val="left" w:pos="5387"/>
      </w:tabs>
      <w:ind w:left="5245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</w:style>
  <w:style w:type="paragraph" w:styleId="a4">
    <w:name w:val="Title"/>
    <w:basedOn w:val="a"/>
    <w:qFormat/>
    <w:pPr>
      <w:jc w:val="center"/>
    </w:pPr>
    <w:rPr>
      <w:sz w:val="24"/>
    </w:rPr>
  </w:style>
  <w:style w:type="paragraph" w:styleId="20">
    <w:name w:val="Body Text Indent 2"/>
    <w:basedOn w:val="a"/>
    <w:pPr>
      <w:tabs>
        <w:tab w:val="left" w:pos="9639"/>
      </w:tabs>
      <w:ind w:firstLine="567"/>
      <w:jc w:val="both"/>
    </w:pPr>
    <w:rPr>
      <w:sz w:val="24"/>
    </w:rPr>
  </w:style>
  <w:style w:type="paragraph" w:styleId="30">
    <w:name w:val="Body Text Indent 3"/>
    <w:basedOn w:val="a"/>
    <w:pPr>
      <w:ind w:firstLine="851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a6">
    <w:name w:val="Block Text"/>
    <w:basedOn w:val="a"/>
    <w:pPr>
      <w:tabs>
        <w:tab w:val="left" w:pos="3686"/>
      </w:tabs>
      <w:ind w:left="-567" w:right="-477" w:firstLine="567"/>
      <w:jc w:val="both"/>
    </w:pPr>
    <w:rPr>
      <w:sz w:val="24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character" w:styleId="a7">
    <w:name w:val="Hyperlink"/>
    <w:rPr>
      <w:color w:val="0000FF"/>
      <w:u w:val="single"/>
    </w:rPr>
  </w:style>
  <w:style w:type="paragraph" w:styleId="21">
    <w:name w:val="Body Text 2"/>
    <w:basedOn w:val="a"/>
    <w:link w:val="22"/>
    <w:pPr>
      <w:jc w:val="both"/>
    </w:pPr>
    <w:rPr>
      <w:sz w:val="22"/>
    </w:rPr>
  </w:style>
  <w:style w:type="paragraph" w:customStyle="1" w:styleId="dogovor">
    <w:name w:val="dogovor"/>
    <w:rPr>
      <w:rFonts w:ascii="Courier New" w:hAnsi="Courier New"/>
      <w:lang w:val="en-GB"/>
    </w:rPr>
  </w:style>
  <w:style w:type="paragraph" w:styleId="31">
    <w:name w:val="Body Text 3"/>
    <w:basedOn w:val="a"/>
    <w:pPr>
      <w:widowControl w:val="0"/>
      <w:jc w:val="both"/>
    </w:pPr>
    <w:rPr>
      <w:sz w:val="24"/>
    </w:rPr>
  </w:style>
  <w:style w:type="paragraph" w:customStyle="1" w:styleId="a8">
    <w:name w:val="Îáû÷íûé"/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note text"/>
    <w:basedOn w:val="a"/>
    <w:semiHidden/>
  </w:style>
  <w:style w:type="paragraph" w:customStyle="1" w:styleId="10">
    <w:name w:val="Обычный1"/>
    <w:rPr>
      <w:snapToGrid w:val="0"/>
      <w:sz w:val="24"/>
      <w:lang w:val="en-US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character" w:styleId="ac">
    <w:name w:val="page number"/>
    <w:basedOn w:val="a0"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ad">
    <w:name w:val="Balloon Text"/>
    <w:basedOn w:val="a"/>
    <w:semiHidden/>
    <w:rsid w:val="00377450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6C293A"/>
    <w:pPr>
      <w:spacing w:before="120" w:after="120"/>
      <w:jc w:val="center"/>
    </w:pPr>
    <w:rPr>
      <w:b/>
      <w:sz w:val="24"/>
    </w:rPr>
  </w:style>
  <w:style w:type="paragraph" w:customStyle="1" w:styleId="ae">
    <w:name w:val="Íàçâàíèå"/>
    <w:basedOn w:val="a"/>
    <w:rsid w:val="006823E4"/>
    <w:pPr>
      <w:tabs>
        <w:tab w:val="left" w:pos="2835"/>
      </w:tabs>
      <w:jc w:val="center"/>
    </w:pPr>
    <w:rPr>
      <w:b/>
    </w:rPr>
  </w:style>
  <w:style w:type="paragraph" w:styleId="af">
    <w:name w:val="Plain Text"/>
    <w:basedOn w:val="a"/>
    <w:rsid w:val="006823E4"/>
    <w:pPr>
      <w:widowControl w:val="0"/>
    </w:pPr>
    <w:rPr>
      <w:rFonts w:ascii="Courier New" w:hAnsi="Courier New" w:cs="Courier New"/>
    </w:rPr>
  </w:style>
  <w:style w:type="table" w:styleId="af0">
    <w:name w:val="Table Grid"/>
    <w:basedOn w:val="a1"/>
    <w:rsid w:val="00581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ий колонтитул1"/>
    <w:basedOn w:val="a"/>
    <w:rsid w:val="008322BB"/>
    <w:pPr>
      <w:tabs>
        <w:tab w:val="center" w:pos="4153"/>
        <w:tab w:val="right" w:pos="8306"/>
      </w:tabs>
      <w:ind w:firstLine="708"/>
      <w:jc w:val="both"/>
    </w:pPr>
    <w:rPr>
      <w:sz w:val="24"/>
    </w:rPr>
  </w:style>
  <w:style w:type="paragraph" w:styleId="af1">
    <w:name w:val="List Paragraph"/>
    <w:basedOn w:val="a"/>
    <w:uiPriority w:val="34"/>
    <w:qFormat/>
    <w:rsid w:val="00DC02E6"/>
    <w:pPr>
      <w:ind w:left="720"/>
      <w:contextualSpacing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41822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26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567"/>
      <w:outlineLvl w:val="5"/>
    </w:pPr>
    <w:rPr>
      <w:sz w:val="24"/>
    </w:rPr>
  </w:style>
  <w:style w:type="paragraph" w:styleId="9">
    <w:name w:val="heading 9"/>
    <w:basedOn w:val="a"/>
    <w:next w:val="a"/>
    <w:qFormat/>
    <w:pPr>
      <w:keepNext/>
      <w:tabs>
        <w:tab w:val="left" w:pos="5103"/>
        <w:tab w:val="left" w:pos="5387"/>
      </w:tabs>
      <w:ind w:left="5245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</w:style>
  <w:style w:type="paragraph" w:styleId="a4">
    <w:name w:val="Title"/>
    <w:basedOn w:val="a"/>
    <w:qFormat/>
    <w:pPr>
      <w:jc w:val="center"/>
    </w:pPr>
    <w:rPr>
      <w:sz w:val="24"/>
    </w:rPr>
  </w:style>
  <w:style w:type="paragraph" w:styleId="20">
    <w:name w:val="Body Text Indent 2"/>
    <w:basedOn w:val="a"/>
    <w:pPr>
      <w:tabs>
        <w:tab w:val="left" w:pos="9639"/>
      </w:tabs>
      <w:ind w:firstLine="567"/>
      <w:jc w:val="both"/>
    </w:pPr>
    <w:rPr>
      <w:sz w:val="24"/>
    </w:rPr>
  </w:style>
  <w:style w:type="paragraph" w:styleId="30">
    <w:name w:val="Body Text Indent 3"/>
    <w:basedOn w:val="a"/>
    <w:pPr>
      <w:ind w:firstLine="851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a6">
    <w:name w:val="Block Text"/>
    <w:basedOn w:val="a"/>
    <w:pPr>
      <w:tabs>
        <w:tab w:val="left" w:pos="3686"/>
      </w:tabs>
      <w:ind w:left="-567" w:right="-477" w:firstLine="567"/>
      <w:jc w:val="both"/>
    </w:pPr>
    <w:rPr>
      <w:sz w:val="24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character" w:styleId="a7">
    <w:name w:val="Hyperlink"/>
    <w:rPr>
      <w:color w:val="0000FF"/>
      <w:u w:val="single"/>
    </w:rPr>
  </w:style>
  <w:style w:type="paragraph" w:styleId="21">
    <w:name w:val="Body Text 2"/>
    <w:basedOn w:val="a"/>
    <w:link w:val="22"/>
    <w:pPr>
      <w:jc w:val="both"/>
    </w:pPr>
    <w:rPr>
      <w:sz w:val="22"/>
    </w:rPr>
  </w:style>
  <w:style w:type="paragraph" w:customStyle="1" w:styleId="dogovor">
    <w:name w:val="dogovor"/>
    <w:rPr>
      <w:rFonts w:ascii="Courier New" w:hAnsi="Courier New"/>
      <w:lang w:val="en-GB"/>
    </w:rPr>
  </w:style>
  <w:style w:type="paragraph" w:styleId="31">
    <w:name w:val="Body Text 3"/>
    <w:basedOn w:val="a"/>
    <w:pPr>
      <w:widowControl w:val="0"/>
      <w:jc w:val="both"/>
    </w:pPr>
    <w:rPr>
      <w:sz w:val="24"/>
    </w:rPr>
  </w:style>
  <w:style w:type="paragraph" w:customStyle="1" w:styleId="a8">
    <w:name w:val="Îáû÷íûé"/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note text"/>
    <w:basedOn w:val="a"/>
    <w:semiHidden/>
  </w:style>
  <w:style w:type="paragraph" w:customStyle="1" w:styleId="10">
    <w:name w:val="Обычный1"/>
    <w:rPr>
      <w:snapToGrid w:val="0"/>
      <w:sz w:val="24"/>
      <w:lang w:val="en-US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character" w:styleId="ac">
    <w:name w:val="page number"/>
    <w:basedOn w:val="a0"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ad">
    <w:name w:val="Balloon Text"/>
    <w:basedOn w:val="a"/>
    <w:semiHidden/>
    <w:rsid w:val="00377450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6C293A"/>
    <w:pPr>
      <w:spacing w:before="120" w:after="120"/>
      <w:jc w:val="center"/>
    </w:pPr>
    <w:rPr>
      <w:b/>
      <w:sz w:val="24"/>
    </w:rPr>
  </w:style>
  <w:style w:type="paragraph" w:customStyle="1" w:styleId="ae">
    <w:name w:val="Íàçâàíèå"/>
    <w:basedOn w:val="a"/>
    <w:rsid w:val="006823E4"/>
    <w:pPr>
      <w:tabs>
        <w:tab w:val="left" w:pos="2835"/>
      </w:tabs>
      <w:jc w:val="center"/>
    </w:pPr>
    <w:rPr>
      <w:b/>
    </w:rPr>
  </w:style>
  <w:style w:type="paragraph" w:styleId="af">
    <w:name w:val="Plain Text"/>
    <w:basedOn w:val="a"/>
    <w:rsid w:val="006823E4"/>
    <w:pPr>
      <w:widowControl w:val="0"/>
    </w:pPr>
    <w:rPr>
      <w:rFonts w:ascii="Courier New" w:hAnsi="Courier New" w:cs="Courier New"/>
    </w:rPr>
  </w:style>
  <w:style w:type="table" w:styleId="af0">
    <w:name w:val="Table Grid"/>
    <w:basedOn w:val="a1"/>
    <w:rsid w:val="00581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ий колонтитул1"/>
    <w:basedOn w:val="a"/>
    <w:rsid w:val="008322BB"/>
    <w:pPr>
      <w:tabs>
        <w:tab w:val="center" w:pos="4153"/>
        <w:tab w:val="right" w:pos="8306"/>
      </w:tabs>
      <w:ind w:firstLine="708"/>
      <w:jc w:val="both"/>
    </w:pPr>
    <w:rPr>
      <w:sz w:val="24"/>
    </w:rPr>
  </w:style>
  <w:style w:type="paragraph" w:styleId="af1">
    <w:name w:val="List Paragraph"/>
    <w:basedOn w:val="a"/>
    <w:uiPriority w:val="34"/>
    <w:qFormat/>
    <w:rsid w:val="00DC02E6"/>
    <w:pPr>
      <w:ind w:left="720"/>
      <w:contextualSpacing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4182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3.bin"/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доверительного управления</vt:lpstr>
    </vt:vector>
  </TitlesOfParts>
  <Company>NAUFOR</Company>
  <LinksUpToDate>false</LinksUpToDate>
  <CharactersWithSpaces>6065</CharactersWithSpaces>
  <SharedDoc>false</SharedDoc>
  <HLinks>
    <vt:vector size="6" baseType="variant">
      <vt:variant>
        <vt:i4>2162740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consultantplus://offline/ref=252A57218D9980F71D704D3D6541A102089503B6799A344719D8135E5D0F3E8391BB8CE7E0B8C3FAo1a2H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доверительного управления</dc:title>
  <dc:creator>IT</dc:creator>
  <cp:lastModifiedBy>Кузьменко Александр</cp:lastModifiedBy>
  <cp:revision>7</cp:revision>
  <cp:lastPrinted>2007-11-29T09:09:00Z</cp:lastPrinted>
  <dcterms:created xsi:type="dcterms:W3CDTF">2018-10-17T07:25:00Z</dcterms:created>
  <dcterms:modified xsi:type="dcterms:W3CDTF">2019-11-15T09:42:00Z</dcterms:modified>
</cp:coreProperties>
</file>