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E64B01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E24F5E" w:rsidRPr="00E64B01">
        <w:rPr>
          <w:rFonts w:ascii="FreeSetLightC" w:hAnsi="FreeSetLightC"/>
          <w:sz w:val="16"/>
          <w:szCs w:val="16"/>
        </w:rPr>
        <w:t xml:space="preserve"> дата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Дата заявления</w:t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  <w:r w:rsidR="009C283B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E64B01" w:rsidRDefault="00567C9D">
      <w:pPr>
        <w:ind w:left="1416" w:firstLine="708"/>
        <w:jc w:val="center"/>
        <w:rPr>
          <w:sz w:val="8"/>
          <w:szCs w:val="8"/>
        </w:rPr>
      </w:pPr>
      <w:r w:rsidRPr="00E64B01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E64B01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E64B01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E64B01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E64B01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E64B01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E64B01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E64B01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E64B01" w:rsidTr="004E7C02">
        <w:trPr>
          <w:trHeight w:val="238"/>
        </w:trPr>
        <w:tc>
          <w:tcPr>
            <w:tcW w:w="650" w:type="dxa"/>
            <w:vAlign w:val="center"/>
          </w:tcPr>
          <w:p w:rsidR="00F73D9C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E64B01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861" w:rsidRPr="00E64B01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E64B01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E64B01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E64B01" w:rsidTr="004E7C02">
        <w:trPr>
          <w:trHeight w:val="238"/>
        </w:trPr>
        <w:tc>
          <w:tcPr>
            <w:tcW w:w="650" w:type="dxa"/>
            <w:vAlign w:val="center"/>
          </w:tcPr>
          <w:p w:rsidR="007C0107" w:rsidRPr="00E64B01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E64B01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E64B01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E64B01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E64B01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E64B01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E64B01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 w:rsidRPr="00E64B01"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E64B01">
              <w:rPr>
                <w:rFonts w:ascii="FreeSetDemiC" w:hAnsi="FreeSetDemiC"/>
                <w:sz w:val="16"/>
                <w:szCs w:val="16"/>
              </w:rPr>
              <w:t xml:space="preserve"> на брокерское /депозитарное обслуживание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E64B01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физ.лиц</w:t>
            </w:r>
            <w:proofErr w:type="spellEnd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E64B01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E64B01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E64B01" w:rsidTr="004E7C02">
        <w:trPr>
          <w:trHeight w:val="238"/>
        </w:trPr>
        <w:tc>
          <w:tcPr>
            <w:tcW w:w="650" w:type="dxa"/>
            <w:vAlign w:val="center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E64B01" w:rsidRDefault="00C717FE" w:rsidP="003E2A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3E2A6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 брокер</w:t>
            </w: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E64B01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41C6F" w:rsidRPr="00E64B01" w:rsidTr="004E7C02">
        <w:trPr>
          <w:trHeight w:val="238"/>
        </w:trPr>
        <w:tc>
          <w:tcPr>
            <w:tcW w:w="650" w:type="dxa"/>
            <w:vAlign w:val="center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3.8</w:t>
            </w:r>
          </w:p>
        </w:tc>
        <w:tc>
          <w:tcPr>
            <w:tcW w:w="7987" w:type="dxa"/>
          </w:tcPr>
          <w:p w:rsidR="00441C6F" w:rsidRPr="00E64B01" w:rsidRDefault="00441C6F" w:rsidP="00441C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«Инвестиционный»</w:t>
            </w:r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C2071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41C6F" w:rsidRPr="00E64B01" w:rsidRDefault="00441C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C30327" w:rsidRPr="00E64B01" w:rsidTr="004E7C02">
        <w:trPr>
          <w:trHeight w:val="124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E64B01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081F3F" w:rsidRPr="00E64B01" w:rsidTr="004E7C02">
        <w:trPr>
          <w:trHeight w:val="238"/>
        </w:trPr>
        <w:tc>
          <w:tcPr>
            <w:tcW w:w="650" w:type="dxa"/>
            <w:vAlign w:val="center"/>
          </w:tcPr>
          <w:p w:rsidR="00081F3F" w:rsidRPr="00F036C4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F036C4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081F3F" w:rsidRPr="00F036C4" w:rsidRDefault="00081F3F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F036C4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</w:p>
        </w:tc>
        <w:tc>
          <w:tcPr>
            <w:tcW w:w="1038" w:type="dxa"/>
          </w:tcPr>
          <w:p w:rsidR="00081F3F" w:rsidRPr="00E64B0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081F3F" w:rsidRPr="00E64B01" w:rsidRDefault="00081F3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081F3F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E64B01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E64B01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E64B01" w:rsidTr="004E7C02">
        <w:trPr>
          <w:trHeight w:val="238"/>
        </w:trPr>
        <w:tc>
          <w:tcPr>
            <w:tcW w:w="650" w:type="dxa"/>
            <w:vAlign w:val="center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E64B01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E64B01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E64B01" w:rsidTr="004E7C02">
        <w:trPr>
          <w:trHeight w:val="238"/>
        </w:trPr>
        <w:tc>
          <w:tcPr>
            <w:tcW w:w="650" w:type="dxa"/>
            <w:vAlign w:val="center"/>
          </w:tcPr>
          <w:p w:rsidR="00673DA2" w:rsidRPr="00E37997" w:rsidRDefault="00673DA2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highlight w:val="yellow"/>
              </w:rPr>
            </w:pPr>
            <w:r w:rsidRPr="00B61EF2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E37997" w:rsidRPr="00B61EF2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673DA2" w:rsidRPr="00E64B01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E64B01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E64B01" w:rsidTr="004E7C02">
        <w:trPr>
          <w:trHeight w:val="238"/>
        </w:trPr>
        <w:tc>
          <w:tcPr>
            <w:tcW w:w="650" w:type="dxa"/>
            <w:vAlign w:val="center"/>
          </w:tcPr>
          <w:p w:rsidR="008144E9" w:rsidRPr="00E37997" w:rsidRDefault="008144E9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highlight w:val="yellow"/>
              </w:rPr>
            </w:pPr>
            <w:bookmarkStart w:id="0" w:name="_GoBack"/>
            <w:bookmarkEnd w:id="0"/>
            <w:r w:rsidRPr="00B61EF2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E37997" w:rsidRPr="00B61EF2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E64B01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E64B01" w:rsidRDefault="00F63CAF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  <w:r w:rsidR="005465DC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650" w:type="dxa"/>
            <w:vAlign w:val="center"/>
          </w:tcPr>
          <w:p w:rsidR="00F63CAF" w:rsidRPr="00E64B01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E64B01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E64B01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E64B01" w:rsidRDefault="00F63CAF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E64B01">
              <w:rPr>
                <w:rFonts w:ascii="FreeSetDemiC" w:hAnsi="FreeSetDemiC"/>
                <w:sz w:val="16"/>
                <w:szCs w:val="16"/>
              </w:rPr>
              <w:t xml:space="preserve">Дополнительные </w:t>
            </w:r>
            <w:r w:rsidR="009411A3" w:rsidRPr="00E64B01">
              <w:rPr>
                <w:rFonts w:ascii="FreeSetDemiC" w:hAnsi="FreeSetDemiC"/>
                <w:sz w:val="16"/>
                <w:szCs w:val="16"/>
              </w:rPr>
              <w:t>условия</w:t>
            </w: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9411A3" w:rsidRPr="00E64B01" w:rsidRDefault="009411A3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9411A3" w:rsidRPr="00E64B01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E64B01" w:rsidTr="004E7C02">
        <w:trPr>
          <w:trHeight w:val="238"/>
        </w:trPr>
        <w:tc>
          <w:tcPr>
            <w:tcW w:w="650" w:type="dxa"/>
            <w:vAlign w:val="center"/>
          </w:tcPr>
          <w:p w:rsidR="009411A3" w:rsidRPr="00E64B01" w:rsidRDefault="009411A3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9411A3" w:rsidRPr="00E64B01" w:rsidRDefault="009411A3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E64B0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E64B01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A1805" w:rsidRPr="00E64B01" w:rsidTr="004E7C02">
        <w:trPr>
          <w:trHeight w:val="238"/>
        </w:trPr>
        <w:tc>
          <w:tcPr>
            <w:tcW w:w="650" w:type="dxa"/>
            <w:vAlign w:val="center"/>
          </w:tcPr>
          <w:p w:rsidR="00AA1805" w:rsidRPr="0023742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237421">
              <w:rPr>
                <w:rFonts w:ascii="FreeSetLightC" w:eastAsiaTheme="minorHAnsi" w:hAnsi="FreeSetLightC" w:cstheme="minorBidi"/>
                <w:sz w:val="16"/>
                <w:szCs w:val="16"/>
              </w:rPr>
              <w:t>7.5</w:t>
            </w:r>
          </w:p>
        </w:tc>
        <w:tc>
          <w:tcPr>
            <w:tcW w:w="7987" w:type="dxa"/>
          </w:tcPr>
          <w:p w:rsidR="00AA1805" w:rsidRPr="0023742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237421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об инвестиционном консультировании</w:t>
            </w:r>
          </w:p>
        </w:tc>
        <w:tc>
          <w:tcPr>
            <w:tcW w:w="1038" w:type="dxa"/>
          </w:tcPr>
          <w:p w:rsidR="00AA1805" w:rsidRPr="00E64B0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AA1805" w:rsidRPr="00E64B01" w:rsidRDefault="00AA180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E64B01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E64B01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E64B01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E64B01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Клиент: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  <w:r w:rsidRPr="00E64B01">
        <w:rPr>
          <w:rFonts w:ascii="FreeSetLightC" w:hAnsi="FreeSetLightC"/>
          <w:sz w:val="16"/>
          <w:szCs w:val="16"/>
        </w:rPr>
        <w:t xml:space="preserve">  /</w:t>
      </w:r>
      <w:r w:rsidR="00C717FE" w:rsidRPr="00E64B01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E64B01">
        <w:rPr>
          <w:rFonts w:ascii="FreeSetLightC" w:hAnsi="FreeSetLightC"/>
          <w:sz w:val="16"/>
          <w:szCs w:val="16"/>
        </w:rPr>
        <w:t>(подпись)</w:t>
      </w:r>
      <w:r w:rsidRPr="00E64B01">
        <w:rPr>
          <w:rFonts w:ascii="FreeSetLightC" w:hAnsi="FreeSetLightC"/>
          <w:sz w:val="16"/>
          <w:szCs w:val="16"/>
        </w:rPr>
        <w:tab/>
      </w:r>
      <w:r w:rsidR="00F63CAF" w:rsidRPr="00E64B01">
        <w:rPr>
          <w:rFonts w:ascii="FreeSetLightC" w:hAnsi="FreeSetLightC"/>
          <w:sz w:val="16"/>
          <w:szCs w:val="16"/>
        </w:rPr>
        <w:tab/>
      </w:r>
      <w:r w:rsidRPr="00E64B01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A" w:rsidRDefault="00B635CA">
      <w:pPr>
        <w:pStyle w:val="a4"/>
      </w:pPr>
      <w:r>
        <w:separator/>
      </w:r>
    </w:p>
  </w:endnote>
  <w:endnote w:type="continuationSeparator" w:id="0">
    <w:p w:rsidR="00B635CA" w:rsidRDefault="00B635C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A" w:rsidRDefault="00B635CA">
      <w:pPr>
        <w:pStyle w:val="a4"/>
      </w:pPr>
      <w:r>
        <w:separator/>
      </w:r>
    </w:p>
  </w:footnote>
  <w:footnote w:type="continuationSeparator" w:id="0">
    <w:p w:rsidR="00B635CA" w:rsidRDefault="00B635C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421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00EF3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657C"/>
    <w:rsid w:val="004856B5"/>
    <w:rsid w:val="00486BF6"/>
    <w:rsid w:val="0049040A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1F69"/>
    <w:rsid w:val="00683419"/>
    <w:rsid w:val="006900E5"/>
    <w:rsid w:val="006A282D"/>
    <w:rsid w:val="006A66F2"/>
    <w:rsid w:val="006B01FE"/>
    <w:rsid w:val="006B47B9"/>
    <w:rsid w:val="006C59F8"/>
    <w:rsid w:val="006D36F6"/>
    <w:rsid w:val="006D7C01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1805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1EF2"/>
    <w:rsid w:val="00B62868"/>
    <w:rsid w:val="00B635CA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37997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F129-1D52-44D3-B139-BD44F429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5</cp:revision>
  <cp:lastPrinted>2017-03-22T18:14:00Z</cp:lastPrinted>
  <dcterms:created xsi:type="dcterms:W3CDTF">2019-06-10T07:36:00Z</dcterms:created>
  <dcterms:modified xsi:type="dcterms:W3CDTF">2019-11-15T08:55:00Z</dcterms:modified>
</cp:coreProperties>
</file>