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6C6364" w:rsidRDefault="00E91057" w:rsidP="00F92616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6C6364">
        <w:rPr>
          <w:b/>
          <w:i/>
        </w:rPr>
        <w:t>Приложение № 4-б</w:t>
      </w:r>
    </w:p>
    <w:p w:rsidR="00F92616" w:rsidRPr="006C6364" w:rsidRDefault="00F92616" w:rsidP="009C1609">
      <w:pPr>
        <w:pStyle w:val="ae"/>
        <w:jc w:val="both"/>
        <w:rPr>
          <w:sz w:val="18"/>
          <w:szCs w:val="18"/>
        </w:rPr>
      </w:pPr>
    </w:p>
    <w:p w:rsidR="00E91057" w:rsidRPr="006C6364" w:rsidRDefault="009C1609" w:rsidP="009C1609">
      <w:pPr>
        <w:pStyle w:val="ae"/>
        <w:jc w:val="both"/>
        <w:rPr>
          <w:sz w:val="18"/>
          <w:szCs w:val="18"/>
        </w:rPr>
      </w:pPr>
      <w:proofErr w:type="gramStart"/>
      <w:r w:rsidRPr="006C6364">
        <w:rPr>
          <w:sz w:val="18"/>
          <w:szCs w:val="18"/>
        </w:rPr>
        <w:t xml:space="preserve">Перечень документов,  </w:t>
      </w:r>
      <w:r w:rsidR="00E91057" w:rsidRPr="006C6364">
        <w:rPr>
          <w:sz w:val="18"/>
          <w:szCs w:val="18"/>
        </w:rPr>
        <w:t>предоставляемых Клиентом</w:t>
      </w:r>
      <w:r w:rsidR="00F07F8A" w:rsidRPr="006C6364">
        <w:rPr>
          <w:sz w:val="18"/>
          <w:szCs w:val="18"/>
        </w:rPr>
        <w:t xml:space="preserve"> (резидентом РФ/нерезидентом)</w:t>
      </w:r>
      <w:r w:rsidR="00E91057" w:rsidRPr="006C6364">
        <w:rPr>
          <w:color w:val="FF0000"/>
          <w:sz w:val="18"/>
          <w:szCs w:val="18"/>
        </w:rPr>
        <w:t xml:space="preserve"> </w:t>
      </w:r>
      <w:r w:rsidRPr="006C6364">
        <w:rPr>
          <w:sz w:val="18"/>
          <w:szCs w:val="18"/>
        </w:rPr>
        <w:t xml:space="preserve">в Компанию, </w:t>
      </w:r>
      <w:r w:rsidR="00E91057" w:rsidRPr="006C6364">
        <w:rPr>
          <w:sz w:val="18"/>
          <w:szCs w:val="18"/>
        </w:rPr>
        <w:t>при оказании Компа</w:t>
      </w:r>
      <w:r w:rsidRPr="006C6364">
        <w:rPr>
          <w:sz w:val="18"/>
          <w:szCs w:val="18"/>
        </w:rPr>
        <w:t xml:space="preserve">нией услуг на финансовых рынках </w:t>
      </w:r>
      <w:r w:rsidR="00E91057" w:rsidRPr="006C6364">
        <w:rPr>
          <w:sz w:val="18"/>
          <w:szCs w:val="18"/>
        </w:rPr>
        <w:t>(для юридических лиц</w:t>
      </w:r>
      <w:r w:rsidR="00C25D86" w:rsidRPr="006C6364">
        <w:rPr>
          <w:sz w:val="18"/>
          <w:szCs w:val="18"/>
        </w:rPr>
        <w:t>, иностранных структур без образования юридического лица</w:t>
      </w:r>
      <w:r w:rsidR="003F441A" w:rsidRPr="006C6364">
        <w:rPr>
          <w:sz w:val="18"/>
          <w:szCs w:val="18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6C6364">
        <w:rPr>
          <w:sz w:val="18"/>
          <w:szCs w:val="18"/>
        </w:rPr>
        <w:t xml:space="preserve"> </w:t>
      </w:r>
      <w:r w:rsidR="003F441A" w:rsidRPr="006C6364">
        <w:rPr>
          <w:sz w:val="18"/>
          <w:szCs w:val="18"/>
        </w:rPr>
        <w:t>порядке частной практикой</w:t>
      </w:r>
      <w:r w:rsidR="00E91057" w:rsidRPr="006C6364">
        <w:rPr>
          <w:sz w:val="18"/>
          <w:szCs w:val="18"/>
        </w:rPr>
        <w:t>)</w:t>
      </w:r>
      <w:proofErr w:type="gramEnd"/>
    </w:p>
    <w:p w:rsidR="003F441A" w:rsidRPr="006C6364" w:rsidRDefault="00E91057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  <w:sz w:val="18"/>
          <w:szCs w:val="18"/>
        </w:rPr>
      </w:pPr>
      <w:proofErr w:type="gramStart"/>
      <w:r w:rsidRPr="006C6364">
        <w:rPr>
          <w:b/>
          <w:i/>
          <w:sz w:val="18"/>
          <w:szCs w:val="18"/>
        </w:rPr>
        <w:t xml:space="preserve">Предоставить следующие документы Клиента – </w:t>
      </w:r>
      <w:r w:rsidR="003F441A" w:rsidRPr="006C6364">
        <w:rPr>
          <w:b/>
          <w:i/>
          <w:sz w:val="18"/>
          <w:szCs w:val="18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6C6364">
        <w:rPr>
          <w:b/>
          <w:i/>
          <w:sz w:val="18"/>
          <w:szCs w:val="18"/>
        </w:rPr>
        <w:t>:</w:t>
      </w:r>
      <w:proofErr w:type="gramEnd"/>
    </w:p>
    <w:p w:rsidR="003F441A" w:rsidRPr="006C6364" w:rsidRDefault="003F441A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  <w:sz w:val="18"/>
          <w:szCs w:val="18"/>
        </w:rPr>
      </w:pPr>
      <w:r w:rsidRPr="006C6364">
        <w:rPr>
          <w:rFonts w:ascii="Times New Roman CYR" w:hAnsi="Times New Roman CYR"/>
          <w:b/>
          <w:i/>
          <w:sz w:val="18"/>
          <w:szCs w:val="18"/>
        </w:rPr>
        <w:t>Клиент – юридическое лицо (резидент РФ) предоставляет: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rFonts w:ascii="Times New Roman CYR" w:hAnsi="Times New Roman CYR"/>
          <w:sz w:val="18"/>
          <w:szCs w:val="18"/>
        </w:rPr>
        <w:t xml:space="preserve">УСТАВ юридического лица с отметкой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rFonts w:ascii="Times New Roman CYR" w:hAnsi="Times New Roman CYR"/>
          <w:sz w:val="18"/>
          <w:szCs w:val="18"/>
        </w:rPr>
        <w:t>, нотариально заверенная копия</w:t>
      </w:r>
      <w:r w:rsidRPr="006C6364">
        <w:rPr>
          <w:sz w:val="18"/>
          <w:szCs w:val="18"/>
        </w:rPr>
        <w:t>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  <w:bookmarkStart w:id="0" w:name="_GoBack"/>
      <w:bookmarkEnd w:id="0"/>
    </w:p>
    <w:p w:rsidR="00E95F4B" w:rsidRPr="006C6364" w:rsidRDefault="00E91057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E95F4B" w:rsidRPr="006C6364" w:rsidRDefault="00E95F4B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СВИДЕТЕЛЬСТВО или ЛИСТ ЗАПИСИ ЕДИНОГО ГОСУДАРСТВЕННОГО РЕЕСТРА ЮРИДИЧЕСКИХ ЛИЦ,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sz w:val="18"/>
          <w:szCs w:val="18"/>
        </w:rPr>
        <w:t>, О РЕГИСТРАЦИИ ИЗМЕНЕНИЙ В УЧРЕДИТЕЛЬНЫЕ ДОКУМЕНТЫ, нотариально заверенная копия;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СВИДЕТЕЛЬСТВО,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sz w:val="18"/>
          <w:szCs w:val="18"/>
        </w:rPr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6C6364" w:rsidRDefault="008C626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6C6364">
        <w:rPr>
          <w:sz w:val="18"/>
          <w:szCs w:val="18"/>
        </w:rPr>
        <w:t>;</w:t>
      </w:r>
      <w:r w:rsidR="00DB3A17" w:rsidRPr="006C6364">
        <w:rPr>
          <w:sz w:val="24"/>
          <w:szCs w:val="24"/>
        </w:rPr>
        <w:t xml:space="preserve"> </w:t>
      </w:r>
    </w:p>
    <w:p w:rsidR="003F441A" w:rsidRPr="006C6364" w:rsidRDefault="00DB3A1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6C6364">
        <w:rPr>
          <w:sz w:val="18"/>
          <w:szCs w:val="18"/>
        </w:rPr>
        <w:t xml:space="preserve"> (приказ о назначении)</w:t>
      </w:r>
      <w:r w:rsidRPr="006C6364">
        <w:rPr>
          <w:sz w:val="18"/>
          <w:szCs w:val="18"/>
        </w:rPr>
        <w:t>;</w:t>
      </w:r>
    </w:p>
    <w:p w:rsidR="00DB3A17" w:rsidRPr="006C6364" w:rsidRDefault="00876A3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ДОКУМЕНТ</w:t>
      </w:r>
      <w:r w:rsidR="00DB3A17" w:rsidRPr="006C6364">
        <w:rPr>
          <w:bCs/>
          <w:iCs/>
          <w:sz w:val="18"/>
          <w:szCs w:val="18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6C6364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6C6364">
        <w:rPr>
          <w:bCs/>
          <w:iCs/>
          <w:sz w:val="18"/>
          <w:szCs w:val="18"/>
        </w:rPr>
        <w:t>астниками общества единогласно)</w:t>
      </w:r>
      <w:r w:rsidRPr="006C6364">
        <w:rPr>
          <w:bCs/>
          <w:iCs/>
          <w:sz w:val="18"/>
          <w:szCs w:val="18"/>
        </w:rPr>
        <w:t xml:space="preserve"> и скрепленная печатью организации</w:t>
      </w:r>
      <w:proofErr w:type="gramEnd"/>
      <w:r w:rsidRPr="006C6364">
        <w:rPr>
          <w:bCs/>
          <w:iCs/>
          <w:sz w:val="18"/>
          <w:szCs w:val="18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6C6364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б) для лиц, назначенных/избранных любым уполномоч</w:t>
      </w:r>
      <w:r w:rsidR="00876A35" w:rsidRPr="006C6364">
        <w:rPr>
          <w:bCs/>
          <w:iCs/>
          <w:sz w:val="18"/>
          <w:szCs w:val="18"/>
        </w:rPr>
        <w:t xml:space="preserve">енным органом, предусмотренным </w:t>
      </w:r>
      <w:r w:rsidRPr="006C6364">
        <w:rPr>
          <w:bCs/>
          <w:iCs/>
          <w:sz w:val="18"/>
          <w:szCs w:val="18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6C6364">
        <w:rPr>
          <w:bCs/>
          <w:iCs/>
          <w:sz w:val="18"/>
          <w:szCs w:val="18"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6C6364" w:rsidRDefault="00C47A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ВЫПИСКА ИЗ ЕДИНОГО ГОСУДАРСТВЕННОГО РЕЕСТРА ЮРИДИЧЕСКИХ Л</w:t>
      </w:r>
      <w:r w:rsidR="00801847" w:rsidRPr="006C6364">
        <w:rPr>
          <w:bCs/>
          <w:iCs/>
          <w:sz w:val="18"/>
          <w:szCs w:val="18"/>
        </w:rPr>
        <w:t xml:space="preserve">ИЦ </w:t>
      </w:r>
      <w:r w:rsidR="00411EB1" w:rsidRPr="006C6364">
        <w:rPr>
          <w:bCs/>
          <w:iCs/>
          <w:sz w:val="18"/>
          <w:szCs w:val="18"/>
        </w:rPr>
        <w:t xml:space="preserve">оригинал или </w:t>
      </w:r>
      <w:r w:rsidRPr="006C6364">
        <w:rPr>
          <w:bCs/>
          <w:iCs/>
          <w:sz w:val="18"/>
          <w:szCs w:val="18"/>
        </w:rPr>
        <w:t>нотариально заверенная копия</w:t>
      </w:r>
      <w:r w:rsidR="00411EB1" w:rsidRPr="006C6364">
        <w:rPr>
          <w:bCs/>
          <w:iCs/>
          <w:sz w:val="18"/>
          <w:szCs w:val="18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6C6364">
        <w:rPr>
          <w:bCs/>
          <w:iCs/>
          <w:sz w:val="18"/>
          <w:szCs w:val="18"/>
        </w:rPr>
        <w:t>Срок действия ВЫПИСКИ</w:t>
      </w:r>
      <w:r w:rsidR="009E27D4" w:rsidRPr="006C6364">
        <w:rPr>
          <w:bCs/>
          <w:iCs/>
          <w:sz w:val="18"/>
          <w:szCs w:val="18"/>
        </w:rPr>
        <w:t xml:space="preserve"> – 1 (Один) месяц </w:t>
      </w:r>
      <w:proofErr w:type="gramStart"/>
      <w:r w:rsidR="009E27D4" w:rsidRPr="006C6364">
        <w:rPr>
          <w:bCs/>
          <w:iCs/>
          <w:sz w:val="18"/>
          <w:szCs w:val="18"/>
        </w:rPr>
        <w:t>с даты выдачи</w:t>
      </w:r>
      <w:proofErr w:type="gramEnd"/>
      <w:r w:rsidR="009E27D4" w:rsidRPr="006C6364">
        <w:rPr>
          <w:bCs/>
          <w:iCs/>
          <w:sz w:val="18"/>
          <w:szCs w:val="18"/>
        </w:rPr>
        <w:t>;</w:t>
      </w:r>
    </w:p>
    <w:p w:rsidR="003F441A" w:rsidRPr="006C6364" w:rsidRDefault="00B171E9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ВЫПИСКА ИЗ РЕЕСТРА АКЦИОНЕРОВ (за исключением </w:t>
      </w:r>
      <w:r w:rsidR="0011280E" w:rsidRPr="006C6364">
        <w:rPr>
          <w:bCs/>
          <w:iCs/>
          <w:sz w:val="18"/>
          <w:szCs w:val="18"/>
        </w:rPr>
        <w:t>публичных</w:t>
      </w:r>
      <w:r w:rsidRPr="006C6364">
        <w:rPr>
          <w:bCs/>
          <w:iCs/>
          <w:sz w:val="18"/>
          <w:szCs w:val="18"/>
        </w:rPr>
        <w:t xml:space="preserve">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6C6364" w:rsidRDefault="006458A8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Информационное письмо об учете в ЕГРПО (Коды государственной статистики), либо </w:t>
      </w:r>
      <w:r w:rsidRPr="006C6364">
        <w:rPr>
          <w:iCs/>
          <w:sz w:val="18"/>
          <w:szCs w:val="18"/>
        </w:rPr>
        <w:t>Уведомление о присвоении кодов ОКВЭД, копия, заверенная юридическим лицом;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6C6364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lastRenderedPageBreak/>
        <w:t>Л</w:t>
      </w:r>
      <w:r w:rsidR="00DD488A" w:rsidRPr="006C6364">
        <w:rPr>
          <w:bCs/>
          <w:iCs/>
          <w:sz w:val="18"/>
          <w:szCs w:val="18"/>
        </w:rPr>
        <w:t>ицензи</w:t>
      </w:r>
      <w:proofErr w:type="gramStart"/>
      <w:r w:rsidR="00DD488A" w:rsidRPr="006C6364">
        <w:rPr>
          <w:bCs/>
          <w:iCs/>
          <w:sz w:val="18"/>
          <w:szCs w:val="18"/>
        </w:rPr>
        <w:t>я</w:t>
      </w:r>
      <w:r w:rsidRPr="006C6364">
        <w:rPr>
          <w:bCs/>
          <w:iCs/>
          <w:sz w:val="18"/>
          <w:szCs w:val="18"/>
        </w:rPr>
        <w:t>(</w:t>
      </w:r>
      <w:proofErr w:type="gramEnd"/>
      <w:r w:rsidRPr="006C6364">
        <w:rPr>
          <w:bCs/>
          <w:iCs/>
          <w:sz w:val="18"/>
          <w:szCs w:val="18"/>
        </w:rPr>
        <w:t>-</w:t>
      </w:r>
      <w:proofErr w:type="spellStart"/>
      <w:r w:rsidRPr="006C6364">
        <w:rPr>
          <w:bCs/>
          <w:iCs/>
          <w:sz w:val="18"/>
          <w:szCs w:val="18"/>
        </w:rPr>
        <w:t>ии</w:t>
      </w:r>
      <w:proofErr w:type="spellEnd"/>
      <w:r w:rsidRPr="006C6364">
        <w:rPr>
          <w:bCs/>
          <w:iCs/>
          <w:sz w:val="18"/>
          <w:szCs w:val="18"/>
        </w:rPr>
        <w:t>) Банка России на осуществление банковской деятельности для кредитных организаций;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ДОВЕРЕННОСТ</w:t>
      </w:r>
      <w:proofErr w:type="gramStart"/>
      <w:r w:rsidRPr="006C6364">
        <w:rPr>
          <w:sz w:val="18"/>
          <w:szCs w:val="18"/>
        </w:rPr>
        <w:t>Ь(</w:t>
      </w:r>
      <w:proofErr w:type="gramEnd"/>
      <w:r w:rsidRPr="006C6364">
        <w:rPr>
          <w:sz w:val="18"/>
          <w:szCs w:val="18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6C6364">
        <w:rPr>
          <w:sz w:val="18"/>
          <w:szCs w:val="18"/>
        </w:rPr>
        <w:t>ые</w:t>
      </w:r>
      <w:proofErr w:type="spellEnd"/>
      <w:r w:rsidRPr="006C6364">
        <w:rPr>
          <w:sz w:val="18"/>
          <w:szCs w:val="18"/>
        </w:rPr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6C6364" w:rsidRDefault="00B232BE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руководителя Клиента – оригинал </w:t>
      </w:r>
      <w:r w:rsidR="000B3403" w:rsidRPr="006C6364">
        <w:rPr>
          <w:sz w:val="18"/>
          <w:szCs w:val="18"/>
        </w:rPr>
        <w:t xml:space="preserve">(предоставляется для проведения сверки) </w:t>
      </w:r>
      <w:r w:rsidRPr="006C6364">
        <w:rPr>
          <w:sz w:val="18"/>
          <w:szCs w:val="18"/>
        </w:rPr>
        <w:t>и</w:t>
      </w:r>
      <w:r w:rsidR="003A38B4" w:rsidRPr="006C6364">
        <w:rPr>
          <w:sz w:val="18"/>
          <w:szCs w:val="18"/>
        </w:rPr>
        <w:t xml:space="preserve"> копи</w:t>
      </w:r>
      <w:r w:rsidR="000C50E2" w:rsidRPr="006C6364">
        <w:rPr>
          <w:sz w:val="18"/>
          <w:szCs w:val="18"/>
        </w:rPr>
        <w:t>я</w:t>
      </w:r>
      <w:r w:rsidRPr="006C6364">
        <w:rPr>
          <w:sz w:val="18"/>
          <w:szCs w:val="18"/>
        </w:rPr>
        <w:t xml:space="preserve"> </w:t>
      </w:r>
      <w:r w:rsidR="000B3403" w:rsidRPr="006C6364">
        <w:rPr>
          <w:sz w:val="18"/>
          <w:szCs w:val="18"/>
        </w:rPr>
        <w:t>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6C6364">
        <w:rPr>
          <w:sz w:val="18"/>
          <w:szCs w:val="18"/>
        </w:rPr>
        <w:t>;</w:t>
      </w:r>
    </w:p>
    <w:p w:rsidR="00E77D0C" w:rsidRPr="006C6364" w:rsidRDefault="00E77D0C" w:rsidP="004949BA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6C6364">
        <w:rPr>
          <w:bCs/>
          <w:iCs/>
          <w:sz w:val="18"/>
          <w:szCs w:val="18"/>
        </w:rPr>
        <w:t>бенефициарного</w:t>
      </w:r>
      <w:proofErr w:type="spellEnd"/>
      <w:r w:rsidRPr="006C6364">
        <w:rPr>
          <w:bCs/>
          <w:iCs/>
          <w:sz w:val="18"/>
          <w:szCs w:val="18"/>
        </w:rPr>
        <w:t xml:space="preserve"> владельца </w:t>
      </w:r>
      <w:r w:rsidR="000B3403" w:rsidRPr="006C6364">
        <w:rPr>
          <w:sz w:val="22"/>
          <w:szCs w:val="22"/>
        </w:rPr>
        <w:t xml:space="preserve">– </w:t>
      </w:r>
      <w:r w:rsidR="000B3403" w:rsidRPr="006C6364">
        <w:rPr>
          <w:sz w:val="18"/>
          <w:szCs w:val="18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6C6364">
        <w:rPr>
          <w:bCs/>
          <w:iCs/>
          <w:sz w:val="18"/>
          <w:szCs w:val="18"/>
        </w:rPr>
        <w:t>;</w:t>
      </w:r>
    </w:p>
    <w:p w:rsidR="00DB4286" w:rsidRPr="006C6364" w:rsidRDefault="00DB4286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6C6364" w:rsidRDefault="00847B17" w:rsidP="00847B17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6C6364" w:rsidRDefault="00A379DE" w:rsidP="00A379DE">
      <w:pPr>
        <w:pStyle w:val="ac"/>
        <w:widowControl/>
        <w:spacing w:before="40"/>
        <w:ind w:firstLine="72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6C6364" w:rsidRDefault="00A379DE" w:rsidP="00172069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6C6364">
        <w:rPr>
          <w:bCs/>
          <w:iCs/>
          <w:sz w:val="18"/>
          <w:szCs w:val="18"/>
        </w:rPr>
        <w:t>Moody's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Investors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Service</w:t>
      </w:r>
      <w:proofErr w:type="spellEnd"/>
      <w:r w:rsidRPr="006C6364">
        <w:rPr>
          <w:bCs/>
          <w:iCs/>
          <w:sz w:val="18"/>
          <w:szCs w:val="18"/>
        </w:rPr>
        <w:t xml:space="preserve">, </w:t>
      </w:r>
      <w:proofErr w:type="spellStart"/>
      <w:r w:rsidRPr="006C6364">
        <w:rPr>
          <w:bCs/>
          <w:iCs/>
          <w:sz w:val="18"/>
          <w:szCs w:val="18"/>
        </w:rPr>
        <w:t>Standard</w:t>
      </w:r>
      <w:proofErr w:type="spellEnd"/>
      <w:r w:rsidRPr="006C6364">
        <w:rPr>
          <w:bCs/>
          <w:iCs/>
          <w:sz w:val="18"/>
          <w:szCs w:val="18"/>
        </w:rPr>
        <w:t xml:space="preserve"> &amp; </w:t>
      </w:r>
      <w:proofErr w:type="spellStart"/>
      <w:r w:rsidRPr="006C6364">
        <w:rPr>
          <w:bCs/>
          <w:iCs/>
          <w:sz w:val="18"/>
          <w:szCs w:val="18"/>
        </w:rPr>
        <w:t>Poor's</w:t>
      </w:r>
      <w:proofErr w:type="spellEnd"/>
      <w:r w:rsidRPr="006C6364">
        <w:rPr>
          <w:bCs/>
          <w:iCs/>
          <w:sz w:val="18"/>
          <w:szCs w:val="18"/>
        </w:rPr>
        <w:t xml:space="preserve">, </w:t>
      </w:r>
      <w:proofErr w:type="spellStart"/>
      <w:r w:rsidRPr="006C6364">
        <w:rPr>
          <w:bCs/>
          <w:iCs/>
          <w:sz w:val="18"/>
          <w:szCs w:val="18"/>
        </w:rPr>
        <w:t>Fitch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Ratings</w:t>
      </w:r>
      <w:proofErr w:type="spellEnd"/>
      <w:r w:rsidRPr="006C6364">
        <w:rPr>
          <w:bCs/>
          <w:iCs/>
          <w:sz w:val="18"/>
          <w:szCs w:val="18"/>
        </w:rPr>
        <w:t>) и национальных рейтинговых агентств).</w:t>
      </w:r>
    </w:p>
    <w:p w:rsidR="00B348D3" w:rsidRPr="006C6364" w:rsidRDefault="00B348D3" w:rsidP="00B348D3">
      <w:pPr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В случае</w:t>
      </w:r>
      <w:proofErr w:type="gramStart"/>
      <w:r w:rsidRPr="006C6364">
        <w:rPr>
          <w:bCs/>
          <w:iCs/>
          <w:sz w:val="18"/>
          <w:szCs w:val="18"/>
        </w:rPr>
        <w:t>,</w:t>
      </w:r>
      <w:proofErr w:type="gramEnd"/>
      <w:r w:rsidRPr="006C6364">
        <w:rPr>
          <w:bCs/>
          <w:iCs/>
          <w:sz w:val="18"/>
          <w:szCs w:val="18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6C6364">
        <w:t xml:space="preserve"> </w:t>
      </w:r>
      <w:r w:rsidRPr="006C6364">
        <w:rPr>
          <w:bCs/>
          <w:iCs/>
          <w:sz w:val="18"/>
          <w:szCs w:val="18"/>
        </w:rPr>
        <w:t xml:space="preserve">указанные в одном или нескольких следующих пунктах на выбор: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6C6364" w:rsidRDefault="00B348D3" w:rsidP="00B348D3">
      <w:pPr>
        <w:ind w:left="851" w:hanging="851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 -иная информация.</w:t>
      </w:r>
    </w:p>
    <w:p w:rsidR="00E7217B" w:rsidRPr="006C6364" w:rsidRDefault="00454667" w:rsidP="00E7217B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Сведения </w:t>
      </w:r>
      <w:r w:rsidR="00E7217B" w:rsidRPr="006C6364">
        <w:rPr>
          <w:bCs/>
          <w:iCs/>
          <w:sz w:val="18"/>
          <w:szCs w:val="18"/>
          <w:lang w:eastAsia="en-US"/>
        </w:rPr>
        <w:t>о деловой репутации</w:t>
      </w:r>
      <w:r w:rsidRPr="006C6364">
        <w:rPr>
          <w:bCs/>
          <w:iCs/>
          <w:sz w:val="18"/>
          <w:szCs w:val="18"/>
          <w:lang w:eastAsia="en-US"/>
        </w:rPr>
        <w:t>, при возможности их получения, любым документом из ниже перечисленного</w:t>
      </w:r>
      <w:r w:rsidR="00E7217B" w:rsidRPr="006C6364">
        <w:rPr>
          <w:bCs/>
          <w:iCs/>
          <w:sz w:val="18"/>
          <w:szCs w:val="18"/>
          <w:lang w:eastAsia="en-US"/>
        </w:rPr>
        <w:t>:</w:t>
      </w:r>
    </w:p>
    <w:p w:rsidR="00454667" w:rsidRPr="006C6364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6C6364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6C6364" w:rsidRDefault="001454CA" w:rsidP="008A11AB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  <w:rPr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</w:t>
      </w:r>
      <w:r w:rsidR="008A11AB" w:rsidRPr="006C6364">
        <w:rPr>
          <w:rFonts w:hint="eastAsia"/>
          <w:sz w:val="18"/>
          <w:szCs w:val="18"/>
        </w:rPr>
        <w:t>Иной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вид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документов</w:t>
      </w:r>
      <w:r w:rsidR="008A11AB" w:rsidRPr="006C6364">
        <w:rPr>
          <w:sz w:val="18"/>
          <w:szCs w:val="18"/>
        </w:rPr>
        <w:t xml:space="preserve">, </w:t>
      </w:r>
      <w:r w:rsidR="008A11AB" w:rsidRPr="006C6364">
        <w:rPr>
          <w:rFonts w:hint="eastAsia"/>
          <w:sz w:val="18"/>
          <w:szCs w:val="18"/>
        </w:rPr>
        <w:t>которые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могут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быть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использованы</w:t>
      </w:r>
      <w:r w:rsidR="008A11AB" w:rsidRPr="006C6364">
        <w:rPr>
          <w:sz w:val="18"/>
          <w:szCs w:val="18"/>
        </w:rPr>
        <w:t xml:space="preserve"> Компанией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целях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определения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деловой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репутации</w:t>
      </w:r>
      <w:r w:rsidR="008A11AB" w:rsidRPr="006C6364">
        <w:rPr>
          <w:sz w:val="18"/>
          <w:szCs w:val="18"/>
        </w:rPr>
        <w:t xml:space="preserve"> Клиента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случае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отсутствия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возможности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получения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сведений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виде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документов</w:t>
      </w:r>
      <w:r w:rsidR="008A11AB" w:rsidRPr="006C6364">
        <w:rPr>
          <w:sz w:val="18"/>
          <w:szCs w:val="18"/>
        </w:rPr>
        <w:t xml:space="preserve">, </w:t>
      </w:r>
      <w:r w:rsidR="008A11AB" w:rsidRPr="006C6364">
        <w:rPr>
          <w:rFonts w:hint="eastAsia"/>
          <w:sz w:val="18"/>
          <w:szCs w:val="18"/>
        </w:rPr>
        <w:t>перечисленных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>ыше:</w:t>
      </w:r>
    </w:p>
    <w:p w:rsidR="008A11AB" w:rsidRPr="006C6364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8A11AB" w:rsidRPr="006C6364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6A01C5" w:rsidRPr="006C6364" w:rsidRDefault="006A01C5" w:rsidP="006A01C5">
      <w:pPr>
        <w:pStyle w:val="ac"/>
        <w:widowControl/>
        <w:numPr>
          <w:ilvl w:val="1"/>
          <w:numId w:val="18"/>
        </w:numPr>
        <w:tabs>
          <w:tab w:val="clear" w:pos="792"/>
        </w:tabs>
        <w:spacing w:before="40"/>
        <w:jc w:val="both"/>
        <w:rPr>
          <w:bCs/>
          <w:iCs/>
        </w:rPr>
      </w:pPr>
      <w:r w:rsidRPr="006C6364">
        <w:rPr>
          <w:b/>
          <w:i/>
        </w:rPr>
        <w:t>Клиент – нерезидент РФ (юридическое лицо, иностранная структура без образования юридического лица) предоставляет: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lastRenderedPageBreak/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0A74ED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proofErr w:type="gramStart"/>
      <w:r w:rsidRPr="006C6364">
        <w:rPr>
          <w:sz w:val="18"/>
          <w:szCs w:val="18"/>
        </w:rPr>
        <w:t>ДОКУМЕ</w:t>
      </w:r>
      <w:r w:rsidR="00F33395" w:rsidRPr="006C6364">
        <w:rPr>
          <w:sz w:val="18"/>
          <w:szCs w:val="18"/>
        </w:rPr>
        <w:t>Н</w:t>
      </w:r>
      <w:r w:rsidRPr="006C6364">
        <w:rPr>
          <w:sz w:val="18"/>
          <w:szCs w:val="18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СЕРТИФИКАТ О ЗАРЕГИСТРИРОВАННОМ ОФИСЕ  - легализованный (</w:t>
      </w:r>
      <w:proofErr w:type="spellStart"/>
      <w:r w:rsidRPr="006C6364">
        <w:rPr>
          <w:sz w:val="18"/>
          <w:szCs w:val="18"/>
        </w:rPr>
        <w:t>апостилированный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СЕРТИФИКАТ ОБ АКЦИОНЕРАХ - легализованный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</w:t>
      </w:r>
      <w:proofErr w:type="gramStart"/>
      <w:r w:rsidRPr="006C6364">
        <w:rPr>
          <w:sz w:val="18"/>
          <w:szCs w:val="18"/>
        </w:rPr>
        <w:t>Т(</w:t>
      </w:r>
      <w:proofErr w:type="gramEnd"/>
      <w:r w:rsidRPr="006C6364">
        <w:rPr>
          <w:sz w:val="18"/>
          <w:szCs w:val="18"/>
        </w:rPr>
        <w:t>Ы) О ДИРЕКТОРАХ И СЕКРЕТАРЕ - легализованные (</w:t>
      </w:r>
      <w:proofErr w:type="spellStart"/>
      <w:r w:rsidRPr="006C6364">
        <w:rPr>
          <w:sz w:val="18"/>
          <w:szCs w:val="18"/>
        </w:rPr>
        <w:t>апостилированный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ДОВЕРЕННОСТ</w:t>
      </w:r>
      <w:proofErr w:type="gramStart"/>
      <w:r w:rsidRPr="006C6364">
        <w:rPr>
          <w:sz w:val="18"/>
          <w:szCs w:val="18"/>
        </w:rPr>
        <w:t>Ь(</w:t>
      </w:r>
      <w:proofErr w:type="gramEnd"/>
      <w:r w:rsidRPr="006C6364">
        <w:rPr>
          <w:sz w:val="18"/>
          <w:szCs w:val="18"/>
        </w:rPr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лица-нерезидента</w:t>
      </w:r>
      <w:r w:rsidRPr="006C6364">
        <w:rPr>
          <w:i/>
          <w:sz w:val="18"/>
          <w:szCs w:val="18"/>
        </w:rPr>
        <w:t xml:space="preserve"> </w:t>
      </w:r>
      <w:r w:rsidRPr="006C6364">
        <w:rPr>
          <w:sz w:val="18"/>
          <w:szCs w:val="18"/>
        </w:rPr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6C6364">
        <w:rPr>
          <w:sz w:val="18"/>
          <w:szCs w:val="18"/>
        </w:rPr>
        <w:t>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6C6364">
        <w:rPr>
          <w:sz w:val="18"/>
          <w:szCs w:val="18"/>
        </w:rPr>
        <w:t>;</w:t>
      </w:r>
    </w:p>
    <w:p w:rsidR="007B2EF5" w:rsidRPr="006C6364" w:rsidRDefault="003063C1" w:rsidP="007B2EF5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руководителя Клиента – </w:t>
      </w:r>
      <w:r w:rsidR="007B2EF5" w:rsidRPr="006C6364">
        <w:rPr>
          <w:sz w:val="18"/>
          <w:szCs w:val="18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7B2EF5" w:rsidRPr="006C6364" w:rsidRDefault="00F33350" w:rsidP="007B2EF5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6C6364">
        <w:rPr>
          <w:sz w:val="18"/>
          <w:szCs w:val="18"/>
        </w:rPr>
        <w:t>бенефициарного</w:t>
      </w:r>
      <w:proofErr w:type="spellEnd"/>
      <w:r w:rsidRPr="006C6364">
        <w:rPr>
          <w:sz w:val="18"/>
          <w:szCs w:val="18"/>
        </w:rPr>
        <w:t xml:space="preserve"> владельца (при наличии)</w:t>
      </w:r>
      <w:r w:rsidR="007B2EF5" w:rsidRPr="006C6364">
        <w:rPr>
          <w:sz w:val="18"/>
          <w:szCs w:val="18"/>
        </w:rPr>
        <w:t xml:space="preserve"> –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7B2EF5" w:rsidRPr="006C6364">
        <w:rPr>
          <w:bCs/>
          <w:iCs/>
          <w:sz w:val="18"/>
          <w:szCs w:val="18"/>
        </w:rPr>
        <w:t>;</w:t>
      </w:r>
    </w:p>
    <w:p w:rsidR="00834A4E" w:rsidRPr="006C6364" w:rsidRDefault="00834A4E" w:rsidP="00834A4E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6C6364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 xml:space="preserve">- отзывы (в произвольной письменной форме, при возможности их получения) </w:t>
      </w:r>
      <w:r w:rsidR="00861FA3" w:rsidRPr="006C6364">
        <w:rPr>
          <w:sz w:val="18"/>
          <w:szCs w:val="18"/>
        </w:rPr>
        <w:t>от</w:t>
      </w:r>
      <w:r w:rsidRPr="006C6364">
        <w:rPr>
          <w:sz w:val="18"/>
          <w:szCs w:val="18"/>
        </w:rPr>
        <w:t xml:space="preserve"> других клиентов Компании, имеющих с ним деловые отношения;</w:t>
      </w:r>
    </w:p>
    <w:p w:rsidR="00834A4E" w:rsidRPr="006C6364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6C6364">
        <w:rPr>
          <w:sz w:val="18"/>
          <w:szCs w:val="18"/>
        </w:rPr>
        <w:t>я</w:t>
      </w:r>
      <w:r w:rsidRPr="006C6364">
        <w:rPr>
          <w:sz w:val="18"/>
          <w:szCs w:val="18"/>
        </w:rPr>
        <w:t xml:space="preserve"> или находится</w:t>
      </w:r>
      <w:r w:rsidR="002B1B8E" w:rsidRPr="006C6364">
        <w:rPr>
          <w:sz w:val="18"/>
          <w:szCs w:val="18"/>
        </w:rPr>
        <w:t xml:space="preserve"> клиент </w:t>
      </w:r>
      <w:r w:rsidRPr="006C6364">
        <w:rPr>
          <w:sz w:val="18"/>
          <w:szCs w:val="18"/>
        </w:rPr>
        <w:t>на обслуживании, с информацией от них об оценке деловой репутации данного лица.</w:t>
      </w:r>
    </w:p>
    <w:p w:rsidR="00732B4A" w:rsidRPr="006C6364" w:rsidRDefault="00732B4A" w:rsidP="00732B4A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 xml:space="preserve">              </w:t>
      </w:r>
      <w:r w:rsidRPr="006C6364">
        <w:rPr>
          <w:rFonts w:hint="eastAsia"/>
          <w:sz w:val="18"/>
          <w:szCs w:val="18"/>
        </w:rPr>
        <w:t>Иной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которые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могут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быть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использованы</w:t>
      </w:r>
      <w:r w:rsidRPr="006C6364">
        <w:rPr>
          <w:sz w:val="18"/>
          <w:szCs w:val="18"/>
        </w:rPr>
        <w:t xml:space="preserve"> Компанией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целях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определения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деловой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репутации</w:t>
      </w:r>
      <w:r w:rsidRPr="006C6364">
        <w:rPr>
          <w:sz w:val="18"/>
          <w:szCs w:val="18"/>
        </w:rPr>
        <w:t xml:space="preserve"> Клиента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случае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отсутствия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возможности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получения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сведений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перечисленных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>ыше:</w:t>
      </w:r>
    </w:p>
    <w:p w:rsidR="00732B4A" w:rsidRPr="006C6364" w:rsidRDefault="00732B4A" w:rsidP="00732B4A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732B4A" w:rsidRPr="006C6364" w:rsidRDefault="00732B4A" w:rsidP="006524B3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9803E3" w:rsidRPr="006C6364" w:rsidRDefault="009803E3" w:rsidP="009803E3">
      <w:pPr>
        <w:pStyle w:val="af0"/>
        <w:numPr>
          <w:ilvl w:val="2"/>
          <w:numId w:val="18"/>
        </w:numPr>
        <w:rPr>
          <w:sz w:val="18"/>
          <w:szCs w:val="18"/>
          <w:lang w:eastAsia="en-US"/>
        </w:rPr>
      </w:pPr>
      <w:r w:rsidRPr="006C6364">
        <w:rPr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6C6364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-к</w:t>
      </w:r>
      <w:r w:rsidR="009803E3" w:rsidRPr="006C6364">
        <w:rPr>
          <w:rFonts w:hint="eastAsia"/>
          <w:sz w:val="18"/>
          <w:szCs w:val="18"/>
        </w:rPr>
        <w:t>опия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финансового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за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последний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отчетный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период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указанием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государственного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учреждения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которое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предоставлен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также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сведения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общедоступном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источнике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информации</w:t>
      </w:r>
      <w:r w:rsidR="009803E3" w:rsidRPr="006C6364">
        <w:rPr>
          <w:sz w:val="18"/>
          <w:szCs w:val="18"/>
        </w:rPr>
        <w:t xml:space="preserve"> (</w:t>
      </w:r>
      <w:r w:rsidR="009803E3" w:rsidRPr="006C6364">
        <w:rPr>
          <w:rFonts w:hint="eastAsia"/>
          <w:sz w:val="18"/>
          <w:szCs w:val="18"/>
        </w:rPr>
        <w:t>если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имеется</w:t>
      </w:r>
      <w:r w:rsidR="009803E3" w:rsidRPr="006C6364">
        <w:rPr>
          <w:sz w:val="18"/>
          <w:szCs w:val="18"/>
        </w:rPr>
        <w:t xml:space="preserve">), </w:t>
      </w:r>
      <w:r w:rsidR="009803E3" w:rsidRPr="006C6364">
        <w:rPr>
          <w:rFonts w:hint="eastAsia"/>
          <w:sz w:val="18"/>
          <w:szCs w:val="18"/>
        </w:rPr>
        <w:t>содержащем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</w:t>
      </w:r>
      <w:r w:rsidR="009803E3" w:rsidRPr="006C6364">
        <w:rPr>
          <w:sz w:val="18"/>
          <w:szCs w:val="18"/>
        </w:rPr>
        <w:t xml:space="preserve">) - </w:t>
      </w:r>
      <w:r w:rsidR="009803E3" w:rsidRPr="006C6364">
        <w:rPr>
          <w:rFonts w:hint="eastAsia"/>
          <w:sz w:val="18"/>
          <w:szCs w:val="18"/>
        </w:rPr>
        <w:t>при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наличии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соответствующей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обязанности</w:t>
      </w:r>
      <w:r w:rsidR="009803E3" w:rsidRPr="006C6364">
        <w:rPr>
          <w:sz w:val="18"/>
          <w:szCs w:val="18"/>
        </w:rPr>
        <w:t>;</w:t>
      </w:r>
    </w:p>
    <w:p w:rsidR="009803E3" w:rsidRPr="006C6364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(</w:t>
      </w:r>
      <w:r w:rsidR="009803E3" w:rsidRPr="006C6364">
        <w:rPr>
          <w:rFonts w:hint="eastAsia"/>
          <w:sz w:val="18"/>
          <w:szCs w:val="18"/>
        </w:rPr>
        <w:t>или</w:t>
      </w:r>
      <w:r w:rsidR="009803E3" w:rsidRPr="006C6364">
        <w:rPr>
          <w:sz w:val="18"/>
          <w:szCs w:val="18"/>
        </w:rPr>
        <w:t xml:space="preserve">) </w:t>
      </w:r>
      <w:r w:rsidR="009803E3" w:rsidRPr="006C6364">
        <w:rPr>
          <w:rFonts w:hint="eastAsia"/>
          <w:sz w:val="18"/>
          <w:szCs w:val="18"/>
        </w:rPr>
        <w:t>данные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рейтинге</w:t>
      </w:r>
      <w:r w:rsidR="009803E3" w:rsidRPr="006C6364">
        <w:rPr>
          <w:sz w:val="18"/>
          <w:szCs w:val="18"/>
        </w:rPr>
        <w:t xml:space="preserve"> </w:t>
      </w:r>
      <w:r w:rsidR="00D0313F" w:rsidRPr="006C6364">
        <w:rPr>
          <w:sz w:val="18"/>
          <w:szCs w:val="18"/>
        </w:rPr>
        <w:t>клиента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размещенные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сети</w:t>
      </w:r>
      <w:r w:rsidR="009803E3" w:rsidRPr="006C6364">
        <w:rPr>
          <w:sz w:val="18"/>
          <w:szCs w:val="18"/>
        </w:rPr>
        <w:t xml:space="preserve"> «</w:t>
      </w:r>
      <w:r w:rsidR="009803E3" w:rsidRPr="006C6364">
        <w:rPr>
          <w:rFonts w:hint="eastAsia"/>
          <w:sz w:val="18"/>
          <w:szCs w:val="18"/>
        </w:rPr>
        <w:t>Интернет</w:t>
      </w:r>
      <w:r w:rsidR="009803E3" w:rsidRPr="006C6364">
        <w:rPr>
          <w:sz w:val="18"/>
          <w:szCs w:val="18"/>
        </w:rPr>
        <w:t xml:space="preserve">» </w:t>
      </w:r>
      <w:r w:rsidR="009803E3" w:rsidRPr="006C6364">
        <w:rPr>
          <w:rFonts w:hint="eastAsia"/>
          <w:sz w:val="18"/>
          <w:szCs w:val="18"/>
        </w:rPr>
        <w:t>на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сайтах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международных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рейтинговых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агентств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национальных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рейтинговых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агентств</w:t>
      </w:r>
      <w:r w:rsidR="009803E3" w:rsidRPr="006C6364">
        <w:rPr>
          <w:sz w:val="18"/>
          <w:szCs w:val="18"/>
        </w:rPr>
        <w:t xml:space="preserve"> (</w:t>
      </w:r>
      <w:proofErr w:type="spellStart"/>
      <w:r w:rsidR="009803E3" w:rsidRPr="006C6364">
        <w:rPr>
          <w:bCs/>
          <w:iCs/>
          <w:sz w:val="18"/>
          <w:szCs w:val="18"/>
        </w:rPr>
        <w:t>Moody's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Investors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Service</w:t>
      </w:r>
      <w:proofErr w:type="spellEnd"/>
      <w:r w:rsidR="009803E3" w:rsidRPr="006C6364">
        <w:rPr>
          <w:bCs/>
          <w:iCs/>
          <w:sz w:val="18"/>
          <w:szCs w:val="18"/>
        </w:rPr>
        <w:t xml:space="preserve">, </w:t>
      </w:r>
      <w:proofErr w:type="spellStart"/>
      <w:r w:rsidR="009803E3" w:rsidRPr="006C6364">
        <w:rPr>
          <w:bCs/>
          <w:iCs/>
          <w:sz w:val="18"/>
          <w:szCs w:val="18"/>
        </w:rPr>
        <w:t>Standard</w:t>
      </w:r>
      <w:proofErr w:type="spellEnd"/>
      <w:r w:rsidR="009803E3" w:rsidRPr="006C6364">
        <w:rPr>
          <w:bCs/>
          <w:iCs/>
          <w:sz w:val="18"/>
          <w:szCs w:val="18"/>
        </w:rPr>
        <w:t xml:space="preserve"> &amp; </w:t>
      </w:r>
      <w:proofErr w:type="spellStart"/>
      <w:r w:rsidR="009803E3" w:rsidRPr="006C6364">
        <w:rPr>
          <w:bCs/>
          <w:iCs/>
          <w:sz w:val="18"/>
          <w:szCs w:val="18"/>
        </w:rPr>
        <w:t>Poor's</w:t>
      </w:r>
      <w:proofErr w:type="spellEnd"/>
      <w:r w:rsidR="009803E3" w:rsidRPr="006C6364">
        <w:rPr>
          <w:bCs/>
          <w:iCs/>
          <w:sz w:val="18"/>
          <w:szCs w:val="18"/>
        </w:rPr>
        <w:t xml:space="preserve">, </w:t>
      </w:r>
      <w:proofErr w:type="spellStart"/>
      <w:r w:rsidR="009803E3" w:rsidRPr="006C6364">
        <w:rPr>
          <w:bCs/>
          <w:iCs/>
          <w:sz w:val="18"/>
          <w:szCs w:val="18"/>
        </w:rPr>
        <w:t>Fitch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Ratings</w:t>
      </w:r>
      <w:proofErr w:type="spellEnd"/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другие</w:t>
      </w:r>
      <w:r w:rsidR="009803E3" w:rsidRPr="006C6364">
        <w:rPr>
          <w:sz w:val="18"/>
          <w:szCs w:val="18"/>
        </w:rPr>
        <w:t xml:space="preserve">) -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случае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если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клиентом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является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юридическое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лицо</w:t>
      </w:r>
      <w:r w:rsidR="009803E3" w:rsidRPr="006C6364">
        <w:rPr>
          <w:sz w:val="18"/>
          <w:szCs w:val="18"/>
        </w:rPr>
        <w:t>-</w:t>
      </w:r>
      <w:r w:rsidR="009803E3" w:rsidRPr="006C6364">
        <w:rPr>
          <w:rFonts w:hint="eastAsia"/>
          <w:sz w:val="18"/>
          <w:szCs w:val="18"/>
        </w:rPr>
        <w:t>нерезидент</w:t>
      </w:r>
      <w:r w:rsidR="009803E3" w:rsidRPr="006C6364">
        <w:rPr>
          <w:sz w:val="18"/>
          <w:szCs w:val="18"/>
        </w:rPr>
        <w:t>.</w:t>
      </w:r>
    </w:p>
    <w:p w:rsidR="00A274B5" w:rsidRPr="006C6364" w:rsidRDefault="00A274B5" w:rsidP="005D3A2C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Также возможно предоставление на выбор:</w:t>
      </w:r>
    </w:p>
    <w:p w:rsidR="00A274B5" w:rsidRPr="006C6364" w:rsidRDefault="00A274B5" w:rsidP="00A274B5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6C6364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lastRenderedPageBreak/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6C6364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6C6364" w:rsidRDefault="00650A10" w:rsidP="00650A10">
      <w:pPr>
        <w:ind w:left="1276" w:hanging="851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 -иная информация.</w:t>
      </w:r>
    </w:p>
    <w:p w:rsidR="00992333" w:rsidRPr="006C6364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6C6364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</w:p>
    <w:p w:rsidR="00794864" w:rsidRPr="006C6364" w:rsidRDefault="005403C9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r w:rsidRPr="006C6364">
        <w:rPr>
          <w:b/>
          <w:bCs/>
          <w:i/>
          <w:iCs/>
          <w:sz w:val="18"/>
          <w:szCs w:val="18"/>
          <w:lang w:eastAsia="en-US"/>
        </w:rPr>
        <w:t>Клиент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– индивидуальн</w:t>
      </w:r>
      <w:r w:rsidRPr="006C6364">
        <w:rPr>
          <w:b/>
          <w:bCs/>
          <w:i/>
          <w:iCs/>
          <w:sz w:val="18"/>
          <w:szCs w:val="18"/>
          <w:lang w:eastAsia="en-US"/>
        </w:rPr>
        <w:t>ый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предпринимател</w:t>
      </w:r>
      <w:r w:rsidRPr="006C6364">
        <w:rPr>
          <w:b/>
          <w:bCs/>
          <w:i/>
          <w:iCs/>
          <w:sz w:val="18"/>
          <w:szCs w:val="18"/>
          <w:lang w:eastAsia="en-US"/>
        </w:rPr>
        <w:t>ь,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</w:t>
      </w:r>
      <w:proofErr w:type="gramStart"/>
      <w:r w:rsidR="00794864" w:rsidRPr="006C6364">
        <w:rPr>
          <w:b/>
          <w:bCs/>
          <w:i/>
          <w:iCs/>
          <w:sz w:val="18"/>
          <w:szCs w:val="18"/>
          <w:lang w:eastAsia="en-US"/>
        </w:rPr>
        <w:t>физическо</w:t>
      </w:r>
      <w:r w:rsidRPr="006C6364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лиц</w:t>
      </w:r>
      <w:r w:rsidRPr="006C6364">
        <w:rPr>
          <w:b/>
          <w:bCs/>
          <w:i/>
          <w:iCs/>
          <w:sz w:val="18"/>
          <w:szCs w:val="18"/>
          <w:lang w:eastAsia="en-US"/>
        </w:rPr>
        <w:t>о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>, занимающе</w:t>
      </w:r>
      <w:r w:rsidRPr="006C6364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>ся в установленном законодательством РФ порядке частной практикой</w:t>
      </w:r>
      <w:r w:rsidR="00034FAC" w:rsidRPr="006C6364">
        <w:rPr>
          <w:b/>
          <w:bCs/>
          <w:i/>
          <w:iCs/>
          <w:sz w:val="18"/>
          <w:szCs w:val="18"/>
          <w:lang w:eastAsia="en-US"/>
        </w:rPr>
        <w:t xml:space="preserve"> предоставляет</w:t>
      </w:r>
      <w:proofErr w:type="gramEnd"/>
      <w:r w:rsidR="00794864" w:rsidRPr="006C6364">
        <w:rPr>
          <w:b/>
          <w:bCs/>
          <w:i/>
          <w:iCs/>
          <w:sz w:val="18"/>
          <w:szCs w:val="18"/>
          <w:lang w:eastAsia="en-US"/>
        </w:rPr>
        <w:t>:</w:t>
      </w:r>
    </w:p>
    <w:p w:rsidR="00794864" w:rsidRPr="006C6364" w:rsidRDefault="007948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– </w:t>
      </w:r>
      <w:r w:rsidR="007B2EF5" w:rsidRPr="006C6364">
        <w:rPr>
          <w:sz w:val="18"/>
          <w:szCs w:val="18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</w:t>
      </w:r>
      <w:r w:rsidR="004C565E" w:rsidRPr="006C6364">
        <w:rPr>
          <w:sz w:val="18"/>
          <w:szCs w:val="18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СВИДЕТЕЛЬСТВО,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bCs/>
          <w:iCs/>
          <w:sz w:val="18"/>
          <w:szCs w:val="18"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ВЫПИСКА ИЗ ЕДИНОГО ГОСУДАРСТВЕННОГО РЕЕСТРА </w:t>
      </w:r>
      <w:r w:rsidR="00E52E66" w:rsidRPr="006C6364">
        <w:rPr>
          <w:bCs/>
          <w:iCs/>
          <w:sz w:val="18"/>
          <w:szCs w:val="18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6C6364">
        <w:rPr>
          <w:bCs/>
          <w:iCs/>
          <w:sz w:val="18"/>
          <w:szCs w:val="18"/>
          <w:lang w:eastAsia="en-US"/>
        </w:rPr>
        <w:t>.</w:t>
      </w:r>
      <w:r w:rsidR="00E52E66" w:rsidRPr="006C6364">
        <w:rPr>
          <w:bCs/>
          <w:iCs/>
          <w:sz w:val="18"/>
          <w:szCs w:val="18"/>
          <w:lang w:eastAsia="en-US"/>
        </w:rPr>
        <w:t xml:space="preserve"> </w:t>
      </w:r>
      <w:r w:rsidRPr="006C6364">
        <w:rPr>
          <w:bCs/>
          <w:iCs/>
          <w:sz w:val="18"/>
          <w:szCs w:val="18"/>
          <w:lang w:eastAsia="en-US"/>
        </w:rPr>
        <w:t xml:space="preserve">Срок действия ВЫПИСКИ – 1 (Один) месяц </w:t>
      </w:r>
      <w:proofErr w:type="gramStart"/>
      <w:r w:rsidRPr="006C6364">
        <w:rPr>
          <w:bCs/>
          <w:iCs/>
          <w:sz w:val="18"/>
          <w:szCs w:val="18"/>
          <w:lang w:eastAsia="en-US"/>
        </w:rPr>
        <w:t>с даты выдачи</w:t>
      </w:r>
      <w:proofErr w:type="gramEnd"/>
      <w:r w:rsidRPr="006C6364">
        <w:rPr>
          <w:bCs/>
          <w:iCs/>
          <w:sz w:val="18"/>
          <w:szCs w:val="18"/>
          <w:lang w:eastAsia="en-US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B2EF5" w:rsidRPr="006C6364" w:rsidRDefault="00794864" w:rsidP="007B2EF5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6C6364">
        <w:rPr>
          <w:bCs/>
          <w:iCs/>
          <w:sz w:val="18"/>
          <w:szCs w:val="18"/>
        </w:rPr>
        <w:t xml:space="preserve">выгодоприобретателя, </w:t>
      </w:r>
      <w:proofErr w:type="spellStart"/>
      <w:r w:rsidRPr="006C6364">
        <w:rPr>
          <w:bCs/>
          <w:iCs/>
          <w:sz w:val="18"/>
          <w:szCs w:val="18"/>
        </w:rPr>
        <w:t>бенефициарного</w:t>
      </w:r>
      <w:proofErr w:type="spellEnd"/>
      <w:r w:rsidRPr="006C6364">
        <w:rPr>
          <w:bCs/>
          <w:iCs/>
          <w:sz w:val="18"/>
          <w:szCs w:val="18"/>
        </w:rPr>
        <w:t xml:space="preserve"> владельца (при наличии)</w:t>
      </w:r>
      <w:r w:rsidR="007B2EF5" w:rsidRPr="006C6364">
        <w:rPr>
          <w:sz w:val="18"/>
          <w:szCs w:val="18"/>
        </w:rPr>
        <w:t xml:space="preserve"> –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7B2EF5" w:rsidRPr="006C6364">
        <w:rPr>
          <w:bCs/>
          <w:iCs/>
          <w:sz w:val="18"/>
          <w:szCs w:val="18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654E79" w:rsidRPr="006C6364" w:rsidRDefault="00654E79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proofErr w:type="gramStart"/>
      <w:r w:rsidRPr="006C6364">
        <w:rPr>
          <w:bCs/>
          <w:iCs/>
          <w:sz w:val="18"/>
          <w:szCs w:val="18"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6C6364">
        <w:rPr>
          <w:bCs/>
          <w:iCs/>
          <w:sz w:val="18"/>
          <w:szCs w:val="18"/>
          <w:lang w:eastAsia="en-US"/>
        </w:rPr>
        <w:t>Moody's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Investors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Service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6C6364">
        <w:rPr>
          <w:bCs/>
          <w:iCs/>
          <w:sz w:val="18"/>
          <w:szCs w:val="18"/>
          <w:lang w:eastAsia="en-US"/>
        </w:rPr>
        <w:t>Standard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&amp; </w:t>
      </w:r>
      <w:proofErr w:type="spellStart"/>
      <w:r w:rsidRPr="006C6364">
        <w:rPr>
          <w:bCs/>
          <w:iCs/>
          <w:sz w:val="18"/>
          <w:szCs w:val="18"/>
          <w:lang w:eastAsia="en-US"/>
        </w:rPr>
        <w:t>Poor's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6C6364">
        <w:rPr>
          <w:bCs/>
          <w:iCs/>
          <w:sz w:val="18"/>
          <w:szCs w:val="18"/>
          <w:lang w:eastAsia="en-US"/>
        </w:rPr>
        <w:t>Fitch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Ratings</w:t>
      </w:r>
      <w:proofErr w:type="spellEnd"/>
      <w:r w:rsidRPr="006C6364">
        <w:rPr>
          <w:bCs/>
          <w:iCs/>
          <w:sz w:val="18"/>
          <w:szCs w:val="18"/>
          <w:lang w:eastAsia="en-US"/>
        </w:rPr>
        <w:t>) и национальных рейтинговых агентств).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               В случае</w:t>
      </w:r>
      <w:proofErr w:type="gramStart"/>
      <w:r w:rsidRPr="006C6364">
        <w:rPr>
          <w:bCs/>
          <w:iCs/>
          <w:sz w:val="18"/>
          <w:szCs w:val="18"/>
          <w:lang w:eastAsia="en-US"/>
        </w:rPr>
        <w:t>,</w:t>
      </w:r>
      <w:proofErr w:type="gramEnd"/>
      <w:r w:rsidRPr="006C6364">
        <w:rPr>
          <w:bCs/>
          <w:iCs/>
          <w:sz w:val="18"/>
          <w:szCs w:val="18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-иная информация.</w:t>
      </w:r>
    </w:p>
    <w:p w:rsidR="007A11E2" w:rsidRPr="006C6364" w:rsidRDefault="007A11E2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6C6364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6C6364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и (или) отзывы (в произвольной письменной форме, при возможности их получения) от других организаций, в </w:t>
      </w:r>
      <w:r w:rsidRPr="006C6364">
        <w:rPr>
          <w:bCs/>
          <w:iCs/>
          <w:sz w:val="18"/>
          <w:szCs w:val="18"/>
          <w:lang w:eastAsia="en-US"/>
        </w:rPr>
        <w:lastRenderedPageBreak/>
        <w:t>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18"/>
          <w:szCs w:val="18"/>
        </w:rPr>
      </w:pPr>
      <w:r w:rsidRPr="006C6364">
        <w:rPr>
          <w:rFonts w:hint="eastAsia"/>
          <w:sz w:val="18"/>
          <w:szCs w:val="18"/>
        </w:rPr>
        <w:t>Иной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которые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могут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быть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использованы</w:t>
      </w:r>
      <w:r w:rsidRPr="006C6364">
        <w:rPr>
          <w:sz w:val="18"/>
          <w:szCs w:val="18"/>
        </w:rPr>
        <w:t xml:space="preserve"> Компанией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целях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определения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деловой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репутации</w:t>
      </w:r>
      <w:r w:rsidRPr="006C6364">
        <w:rPr>
          <w:sz w:val="18"/>
          <w:szCs w:val="18"/>
        </w:rPr>
        <w:t xml:space="preserve"> Клиента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случае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отсутствия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возможности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получения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сведений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перечисленных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>ыше: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427075" w:rsidRPr="006C6364" w:rsidRDefault="00427075" w:rsidP="00654E79">
      <w:pPr>
        <w:ind w:left="720"/>
        <w:jc w:val="both"/>
        <w:rPr>
          <w:bCs/>
          <w:iCs/>
          <w:sz w:val="18"/>
          <w:szCs w:val="18"/>
          <w:lang w:eastAsia="en-US"/>
        </w:rPr>
      </w:pPr>
    </w:p>
    <w:p w:rsidR="00766900" w:rsidRPr="006C6364" w:rsidRDefault="00766900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proofErr w:type="gramStart"/>
      <w:r w:rsidRPr="006C6364">
        <w:rPr>
          <w:b/>
          <w:bCs/>
          <w:i/>
          <w:iCs/>
          <w:sz w:val="18"/>
          <w:szCs w:val="18"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6C6364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6C6364" w:rsidRDefault="000B60C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6C6364">
        <w:rPr>
          <w:bCs/>
          <w:iCs/>
          <w:sz w:val="18"/>
          <w:szCs w:val="18"/>
        </w:rPr>
        <w:t xml:space="preserve"> квалифицированными инвесторами.</w:t>
      </w:r>
    </w:p>
    <w:p w:rsidR="00B3147F" w:rsidRPr="006C6364" w:rsidRDefault="00B3147F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bCs/>
          <w:i/>
          <w:iCs/>
          <w:sz w:val="18"/>
          <w:szCs w:val="18"/>
        </w:rPr>
      </w:pPr>
      <w:r w:rsidRPr="006C6364">
        <w:rPr>
          <w:b/>
          <w:bCs/>
          <w:i/>
          <w:iCs/>
          <w:sz w:val="18"/>
          <w:szCs w:val="18"/>
        </w:rPr>
        <w:t>Для открытия Брокерского счета и/или Учетного счета Клиента и регистра</w:t>
      </w:r>
      <w:r w:rsidR="005207BA" w:rsidRPr="006C6364">
        <w:rPr>
          <w:b/>
          <w:bCs/>
          <w:i/>
          <w:iCs/>
          <w:sz w:val="18"/>
          <w:szCs w:val="18"/>
        </w:rPr>
        <w:t>ции Клиента в торговых системах,</w:t>
      </w:r>
      <w:r w:rsidRPr="006C6364">
        <w:rPr>
          <w:b/>
          <w:bCs/>
          <w:i/>
          <w:iCs/>
          <w:sz w:val="18"/>
          <w:szCs w:val="18"/>
        </w:rPr>
        <w:t xml:space="preserve"> оформить и подписать следующие документы: 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АНКЕТУ</w:t>
      </w:r>
      <w:r w:rsidR="009D2E43" w:rsidRPr="006C6364">
        <w:rPr>
          <w:sz w:val="18"/>
          <w:szCs w:val="18"/>
        </w:rPr>
        <w:t xml:space="preserve"> (ДОСЬЕ)</w:t>
      </w:r>
      <w:r w:rsidRPr="006C6364">
        <w:rPr>
          <w:sz w:val="18"/>
          <w:szCs w:val="18"/>
        </w:rPr>
        <w:t xml:space="preserve"> КЛ</w:t>
      </w:r>
      <w:r w:rsidR="003C148C" w:rsidRPr="006C6364">
        <w:rPr>
          <w:sz w:val="18"/>
          <w:szCs w:val="18"/>
        </w:rPr>
        <w:t>ИЕНТА по форме Приложения № 2-б</w:t>
      </w:r>
      <w:r w:rsidR="000B60C7" w:rsidRPr="006C6364">
        <w:rPr>
          <w:sz w:val="18"/>
          <w:szCs w:val="18"/>
        </w:rPr>
        <w:t xml:space="preserve"> </w:t>
      </w:r>
      <w:r w:rsidRPr="006C6364">
        <w:rPr>
          <w:sz w:val="18"/>
          <w:szCs w:val="18"/>
        </w:rPr>
        <w:t>– 1 экз.</w:t>
      </w:r>
    </w:p>
    <w:p w:rsidR="00A56641" w:rsidRPr="006C6364" w:rsidRDefault="00A56641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6C6364">
        <w:rPr>
          <w:sz w:val="18"/>
          <w:szCs w:val="18"/>
        </w:rPr>
        <w:t>:</w:t>
      </w:r>
      <w:r w:rsidRPr="006C6364">
        <w:rPr>
          <w:sz w:val="18"/>
          <w:szCs w:val="18"/>
        </w:rPr>
        <w:t xml:space="preserve"> Приложения №2-</w:t>
      </w:r>
      <w:r w:rsidR="003C148C" w:rsidRPr="006C6364">
        <w:rPr>
          <w:sz w:val="18"/>
          <w:szCs w:val="18"/>
        </w:rPr>
        <w:t>в</w:t>
      </w:r>
      <w:r w:rsidRPr="006C6364">
        <w:rPr>
          <w:sz w:val="18"/>
          <w:szCs w:val="18"/>
        </w:rPr>
        <w:t xml:space="preserve"> для Выгодоприобретателей – физическ</w:t>
      </w:r>
      <w:r w:rsidR="007B49EC" w:rsidRPr="006C6364">
        <w:rPr>
          <w:sz w:val="18"/>
          <w:szCs w:val="18"/>
        </w:rPr>
        <w:t xml:space="preserve">их лиц, по форме Приложения </w:t>
      </w:r>
      <w:r w:rsidR="009438BD" w:rsidRPr="006C6364">
        <w:rPr>
          <w:sz w:val="18"/>
          <w:szCs w:val="18"/>
        </w:rPr>
        <w:t>№2-</w:t>
      </w:r>
      <w:r w:rsidR="003C148C" w:rsidRPr="006C6364">
        <w:rPr>
          <w:sz w:val="18"/>
          <w:szCs w:val="18"/>
        </w:rPr>
        <w:t>г</w:t>
      </w:r>
      <w:r w:rsidRPr="006C6364">
        <w:rPr>
          <w:sz w:val="18"/>
          <w:szCs w:val="18"/>
        </w:rPr>
        <w:t xml:space="preserve"> – для Выгодоприобрета</w:t>
      </w:r>
      <w:r w:rsidR="007B49EC" w:rsidRPr="006C6364">
        <w:rPr>
          <w:sz w:val="18"/>
          <w:szCs w:val="18"/>
        </w:rPr>
        <w:t>телей – юридических лиц</w:t>
      </w:r>
      <w:r w:rsidR="000B60C7" w:rsidRPr="006C6364">
        <w:rPr>
          <w:sz w:val="18"/>
          <w:szCs w:val="18"/>
        </w:rPr>
        <w:t xml:space="preserve"> </w:t>
      </w:r>
      <w:r w:rsidR="007B49EC" w:rsidRPr="006C6364">
        <w:rPr>
          <w:sz w:val="18"/>
          <w:szCs w:val="18"/>
        </w:rPr>
        <w:t xml:space="preserve">– 1 </w:t>
      </w:r>
      <w:proofErr w:type="spellStart"/>
      <w:proofErr w:type="gramStart"/>
      <w:r w:rsidR="007B49EC" w:rsidRPr="006C6364">
        <w:rPr>
          <w:sz w:val="18"/>
          <w:szCs w:val="18"/>
        </w:rPr>
        <w:t>экз</w:t>
      </w:r>
      <w:proofErr w:type="spellEnd"/>
      <w:proofErr w:type="gramEnd"/>
      <w:r w:rsidR="007B49EC" w:rsidRPr="006C6364">
        <w:rPr>
          <w:sz w:val="18"/>
          <w:szCs w:val="18"/>
        </w:rPr>
        <w:t>;</w:t>
      </w:r>
    </w:p>
    <w:p w:rsidR="00A56641" w:rsidRPr="006C6364" w:rsidRDefault="00F3339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</w:t>
      </w:r>
      <w:proofErr w:type="gramStart"/>
      <w:r w:rsidRPr="006C6364">
        <w:rPr>
          <w:sz w:val="18"/>
          <w:szCs w:val="18"/>
        </w:rPr>
        <w:t>У(</w:t>
      </w:r>
      <w:proofErr w:type="gramEnd"/>
      <w:r w:rsidRPr="006C6364">
        <w:rPr>
          <w:sz w:val="18"/>
          <w:szCs w:val="18"/>
        </w:rPr>
        <w:t xml:space="preserve">Ы) </w:t>
      </w:r>
      <w:r w:rsidR="00A56641" w:rsidRPr="006C6364">
        <w:rPr>
          <w:sz w:val="18"/>
          <w:szCs w:val="18"/>
        </w:rPr>
        <w:t>БЕНЕФИЦИАРНОГО(ЫХ) ВЛАДЕЛЬЦА(ОВ) – ФИЗИЧЕСКОГО(ИХ) лица по форме Приложения №</w:t>
      </w:r>
      <w:r w:rsidR="003C148C" w:rsidRPr="006C6364">
        <w:t> </w:t>
      </w:r>
      <w:r w:rsidR="00A56641" w:rsidRPr="006C6364">
        <w:rPr>
          <w:sz w:val="18"/>
          <w:szCs w:val="18"/>
        </w:rPr>
        <w:t xml:space="preserve">2-д – по 1 экз. на каждого </w:t>
      </w:r>
      <w:proofErr w:type="spellStart"/>
      <w:r w:rsidR="00A56641" w:rsidRPr="006C6364">
        <w:rPr>
          <w:sz w:val="18"/>
          <w:szCs w:val="18"/>
        </w:rPr>
        <w:t>Бенефициарного</w:t>
      </w:r>
      <w:proofErr w:type="spellEnd"/>
      <w:r w:rsidR="00A56641" w:rsidRPr="006C6364">
        <w:rPr>
          <w:sz w:val="18"/>
          <w:szCs w:val="18"/>
        </w:rPr>
        <w:t xml:space="preserve"> владельца;</w:t>
      </w:r>
    </w:p>
    <w:p w:rsidR="00170913" w:rsidRPr="006C6364" w:rsidRDefault="00170913" w:rsidP="004949BA">
      <w:pPr>
        <w:pStyle w:val="af0"/>
        <w:numPr>
          <w:ilvl w:val="2"/>
          <w:numId w:val="18"/>
        </w:numPr>
        <w:jc w:val="both"/>
        <w:rPr>
          <w:sz w:val="18"/>
          <w:szCs w:val="18"/>
          <w:lang w:eastAsia="en-US"/>
        </w:rPr>
      </w:pPr>
      <w:r w:rsidRPr="006C6364">
        <w:rPr>
          <w:sz w:val="18"/>
          <w:szCs w:val="18"/>
          <w:lang w:eastAsia="en-US"/>
        </w:rPr>
        <w:t xml:space="preserve">АНКЕТУ ПРЕДСТАВИТЕЛЯ КЛИЕНТА </w:t>
      </w:r>
      <w:r w:rsidR="00F33395" w:rsidRPr="006C6364">
        <w:rPr>
          <w:sz w:val="18"/>
          <w:szCs w:val="18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6C6364">
        <w:rPr>
          <w:sz w:val="18"/>
          <w:szCs w:val="18"/>
          <w:lang w:eastAsia="en-US"/>
        </w:rPr>
        <w:t>по форме Приложения №2-</w:t>
      </w:r>
      <w:r w:rsidR="00F33395" w:rsidRPr="006C6364">
        <w:rPr>
          <w:sz w:val="18"/>
          <w:szCs w:val="18"/>
          <w:lang w:eastAsia="en-US"/>
        </w:rPr>
        <w:t>е</w:t>
      </w:r>
      <w:r w:rsidRPr="006C6364">
        <w:rPr>
          <w:sz w:val="18"/>
          <w:szCs w:val="18"/>
          <w:lang w:eastAsia="en-US"/>
        </w:rPr>
        <w:t xml:space="preserve"> для Представителей – физическ</w:t>
      </w:r>
      <w:r w:rsidR="00F33395" w:rsidRPr="006C6364">
        <w:rPr>
          <w:sz w:val="18"/>
          <w:szCs w:val="18"/>
          <w:lang w:eastAsia="en-US"/>
        </w:rPr>
        <w:t>их лиц, по форме Приложения №2-ж</w:t>
      </w:r>
      <w:r w:rsidRPr="006C6364">
        <w:rPr>
          <w:sz w:val="18"/>
          <w:szCs w:val="18"/>
          <w:lang w:eastAsia="en-US"/>
        </w:rPr>
        <w:t xml:space="preserve"> – для Представителей – юридических лиц – 1 экз.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spacing w:before="40"/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ЗАЯВЛЕНИЕ НА КОМПЛЕКСНОЕ ОБСЛУЖИВАНИЕ НА ФИНАНСОВЫХ РЫНКАХ по форме Приложения № 3 к Регламенту – 1 экз.;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УВЕДОМЛЕНИЕ о ведении учета денежных сре</w:t>
      </w:r>
      <w:proofErr w:type="gramStart"/>
      <w:r w:rsidRPr="006C6364">
        <w:rPr>
          <w:sz w:val="18"/>
          <w:szCs w:val="18"/>
        </w:rPr>
        <w:t>дств Кл</w:t>
      </w:r>
      <w:proofErr w:type="gramEnd"/>
      <w:r w:rsidRPr="006C6364">
        <w:rPr>
          <w:sz w:val="18"/>
          <w:szCs w:val="18"/>
        </w:rPr>
        <w:t>иента по форме приложения № 6 – 1 экз.</w:t>
      </w:r>
    </w:p>
    <w:p w:rsidR="00F113F2" w:rsidRPr="006C6364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ПОРУЧЕНИЕ на назначение оператора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6C6364">
        <w:rPr>
          <w:b/>
          <w:bCs/>
          <w:sz w:val="18"/>
          <w:szCs w:val="18"/>
        </w:rPr>
        <w:t xml:space="preserve"> </w:t>
      </w:r>
      <w:r w:rsidRPr="006C6364">
        <w:rPr>
          <w:sz w:val="18"/>
          <w:szCs w:val="18"/>
        </w:rPr>
        <w:t>АО ИФК «Солид» - 1 экз.</w:t>
      </w:r>
    </w:p>
    <w:p w:rsidR="00440617" w:rsidRPr="006C6364" w:rsidRDefault="00440617" w:rsidP="004949BA">
      <w:pPr>
        <w:pStyle w:val="ac"/>
        <w:widowControl/>
        <w:spacing w:before="40"/>
        <w:jc w:val="both"/>
        <w:rPr>
          <w:bCs/>
          <w:iCs/>
          <w:sz w:val="18"/>
          <w:szCs w:val="18"/>
        </w:rPr>
      </w:pPr>
    </w:p>
    <w:p w:rsidR="00E91057" w:rsidRPr="006C6364" w:rsidRDefault="00E91057" w:rsidP="004949BA">
      <w:pPr>
        <w:pStyle w:val="ac"/>
        <w:widowControl/>
        <w:ind w:left="568" w:hanging="284"/>
        <w:jc w:val="both"/>
        <w:rPr>
          <w:color w:val="000000"/>
          <w:sz w:val="18"/>
          <w:szCs w:val="18"/>
        </w:rPr>
      </w:pPr>
      <w:r w:rsidRPr="006C6364">
        <w:rPr>
          <w:b/>
          <w:bCs/>
          <w:color w:val="000000"/>
          <w:sz w:val="18"/>
          <w:szCs w:val="18"/>
        </w:rPr>
        <w:t>Примечание</w:t>
      </w:r>
      <w:r w:rsidR="00D47407" w:rsidRPr="006C6364">
        <w:rPr>
          <w:color w:val="000000"/>
          <w:sz w:val="18"/>
          <w:szCs w:val="18"/>
        </w:rPr>
        <w:t>:</w:t>
      </w:r>
    </w:p>
    <w:p w:rsidR="00E91057" w:rsidRPr="006C6364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6C6364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6C6364" w:rsidRDefault="005D0F72" w:rsidP="004949BA">
      <w:pPr>
        <w:pStyle w:val="3"/>
        <w:spacing w:before="40"/>
        <w:ind w:left="714"/>
        <w:rPr>
          <w:sz w:val="18"/>
          <w:szCs w:val="18"/>
        </w:rPr>
      </w:pPr>
      <w:r w:rsidRPr="006C6364">
        <w:rPr>
          <w:sz w:val="18"/>
          <w:szCs w:val="18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6C6364" w:rsidRDefault="00E91057" w:rsidP="004949BA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6C6364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6C6364">
        <w:rPr>
          <w:sz w:val="18"/>
          <w:szCs w:val="18"/>
        </w:rPr>
        <w:t>ов</w:t>
      </w:r>
      <w:r w:rsidRPr="006C6364">
        <w:rPr>
          <w:sz w:val="18"/>
          <w:szCs w:val="18"/>
        </w:rPr>
        <w:t xml:space="preserve"> просьба обращаться к специалистам </w:t>
      </w:r>
      <w:r w:rsidR="00323E08" w:rsidRPr="006C6364">
        <w:rPr>
          <w:sz w:val="18"/>
          <w:szCs w:val="18"/>
        </w:rPr>
        <w:t>Компании</w:t>
      </w:r>
      <w:r w:rsidR="00884B32" w:rsidRPr="006C6364">
        <w:rPr>
          <w:sz w:val="18"/>
          <w:szCs w:val="18"/>
        </w:rPr>
        <w:t>.</w:t>
      </w:r>
    </w:p>
    <w:p w:rsidR="002936CC" w:rsidRPr="006C6364" w:rsidRDefault="002936CC" w:rsidP="004949BA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6C6364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6C6364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2936CC" w:rsidRPr="005A45C3" w:rsidRDefault="002936CC" w:rsidP="004949BA">
      <w:pPr>
        <w:pStyle w:val="3"/>
        <w:widowControl/>
        <w:ind w:left="720"/>
        <w:rPr>
          <w:i w:val="0"/>
          <w:iCs/>
          <w:sz w:val="18"/>
          <w:szCs w:val="18"/>
        </w:rPr>
      </w:pPr>
    </w:p>
    <w:sectPr w:rsidR="002936CC" w:rsidRPr="005A4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364">
      <w:rPr>
        <w:rStyle w:val="a5"/>
        <w:noProof/>
      </w:rPr>
      <w:t>5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6C6364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22029318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Normal1"/>
      <w:pBdr>
        <w:bottom w:val="single" w:sz="4" w:space="1" w:color="auto"/>
      </w:pBdr>
      <w:jc w:val="center"/>
      <w:rPr>
        <w:b/>
        <w:b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5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6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4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5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18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27"/>
  </w:num>
  <w:num w:numId="13">
    <w:abstractNumId w:val="12"/>
  </w:num>
  <w:num w:numId="14">
    <w:abstractNumId w:val="14"/>
  </w:num>
  <w:num w:numId="15">
    <w:abstractNumId w:val="13"/>
  </w:num>
  <w:num w:numId="16">
    <w:abstractNumId w:val="25"/>
  </w:num>
  <w:num w:numId="17">
    <w:abstractNumId w:val="22"/>
  </w:num>
  <w:num w:numId="18">
    <w:abstractNumId w:val="19"/>
  </w:num>
  <w:num w:numId="19">
    <w:abstractNumId w:val="8"/>
  </w:num>
  <w:num w:numId="20">
    <w:abstractNumId w:val="11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3403"/>
    <w:rsid w:val="000B60C7"/>
    <w:rsid w:val="000C1015"/>
    <w:rsid w:val="000C50E2"/>
    <w:rsid w:val="000C5E94"/>
    <w:rsid w:val="000D7B58"/>
    <w:rsid w:val="000F5208"/>
    <w:rsid w:val="000F685B"/>
    <w:rsid w:val="0011000A"/>
    <w:rsid w:val="0011280E"/>
    <w:rsid w:val="00114A56"/>
    <w:rsid w:val="0012092E"/>
    <w:rsid w:val="001253AD"/>
    <w:rsid w:val="00132235"/>
    <w:rsid w:val="001454CA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F4395"/>
    <w:rsid w:val="001F5219"/>
    <w:rsid w:val="002261AA"/>
    <w:rsid w:val="00281836"/>
    <w:rsid w:val="0028498A"/>
    <w:rsid w:val="002936CC"/>
    <w:rsid w:val="00295AEA"/>
    <w:rsid w:val="002969D4"/>
    <w:rsid w:val="002B1B8E"/>
    <w:rsid w:val="002C0CDA"/>
    <w:rsid w:val="002C3DAE"/>
    <w:rsid w:val="002D2BE0"/>
    <w:rsid w:val="002E4384"/>
    <w:rsid w:val="002F0614"/>
    <w:rsid w:val="003063C1"/>
    <w:rsid w:val="003115AE"/>
    <w:rsid w:val="003170B7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949BA"/>
    <w:rsid w:val="004956CA"/>
    <w:rsid w:val="00496ADD"/>
    <w:rsid w:val="004A6718"/>
    <w:rsid w:val="004B4514"/>
    <w:rsid w:val="004B4A51"/>
    <w:rsid w:val="004C565E"/>
    <w:rsid w:val="004C760E"/>
    <w:rsid w:val="004D1B00"/>
    <w:rsid w:val="004D25EB"/>
    <w:rsid w:val="004F3C63"/>
    <w:rsid w:val="004F719E"/>
    <w:rsid w:val="0050562C"/>
    <w:rsid w:val="005207BA"/>
    <w:rsid w:val="005403C9"/>
    <w:rsid w:val="005414E1"/>
    <w:rsid w:val="00563A95"/>
    <w:rsid w:val="00566EB8"/>
    <w:rsid w:val="00581536"/>
    <w:rsid w:val="005864C7"/>
    <w:rsid w:val="00586953"/>
    <w:rsid w:val="005A45C3"/>
    <w:rsid w:val="005B6D89"/>
    <w:rsid w:val="005B791D"/>
    <w:rsid w:val="005D0F72"/>
    <w:rsid w:val="005D3A2C"/>
    <w:rsid w:val="005E04EE"/>
    <w:rsid w:val="005E565E"/>
    <w:rsid w:val="005F1F50"/>
    <w:rsid w:val="005F2AEF"/>
    <w:rsid w:val="0060653E"/>
    <w:rsid w:val="00607F56"/>
    <w:rsid w:val="00616906"/>
    <w:rsid w:val="00630C4B"/>
    <w:rsid w:val="00640F79"/>
    <w:rsid w:val="006458A8"/>
    <w:rsid w:val="00650A10"/>
    <w:rsid w:val="006524B3"/>
    <w:rsid w:val="00654E79"/>
    <w:rsid w:val="00665837"/>
    <w:rsid w:val="006979C2"/>
    <w:rsid w:val="006A01C5"/>
    <w:rsid w:val="006A575B"/>
    <w:rsid w:val="006B36D6"/>
    <w:rsid w:val="006C015F"/>
    <w:rsid w:val="006C6364"/>
    <w:rsid w:val="006D1301"/>
    <w:rsid w:val="006E6447"/>
    <w:rsid w:val="006E71F8"/>
    <w:rsid w:val="006F7E62"/>
    <w:rsid w:val="00702BA1"/>
    <w:rsid w:val="00732B4A"/>
    <w:rsid w:val="007405CD"/>
    <w:rsid w:val="00745049"/>
    <w:rsid w:val="00757526"/>
    <w:rsid w:val="00766900"/>
    <w:rsid w:val="00783849"/>
    <w:rsid w:val="00794864"/>
    <w:rsid w:val="00795746"/>
    <w:rsid w:val="007A11E2"/>
    <w:rsid w:val="007A6320"/>
    <w:rsid w:val="007B1B88"/>
    <w:rsid w:val="007B2EF5"/>
    <w:rsid w:val="007B49EC"/>
    <w:rsid w:val="007C6C70"/>
    <w:rsid w:val="007C7A0B"/>
    <w:rsid w:val="007D1008"/>
    <w:rsid w:val="007E5CA7"/>
    <w:rsid w:val="007F7B3C"/>
    <w:rsid w:val="00801847"/>
    <w:rsid w:val="008068D1"/>
    <w:rsid w:val="00834A4E"/>
    <w:rsid w:val="00835B07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729D"/>
    <w:rsid w:val="008B7312"/>
    <w:rsid w:val="008C6265"/>
    <w:rsid w:val="008D04E4"/>
    <w:rsid w:val="008D3259"/>
    <w:rsid w:val="008E5BD1"/>
    <w:rsid w:val="00912FA3"/>
    <w:rsid w:val="0092256D"/>
    <w:rsid w:val="00926992"/>
    <w:rsid w:val="00927D93"/>
    <w:rsid w:val="00932B0A"/>
    <w:rsid w:val="00937B72"/>
    <w:rsid w:val="009438BD"/>
    <w:rsid w:val="009803E3"/>
    <w:rsid w:val="009910A8"/>
    <w:rsid w:val="00992333"/>
    <w:rsid w:val="009C1467"/>
    <w:rsid w:val="009C1609"/>
    <w:rsid w:val="009D2E43"/>
    <w:rsid w:val="009E27D4"/>
    <w:rsid w:val="009E79E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1CE8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1ABA"/>
    <w:rsid w:val="00BC39FD"/>
    <w:rsid w:val="00BE6DD4"/>
    <w:rsid w:val="00BF51F7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40B81"/>
    <w:rsid w:val="00E429E2"/>
    <w:rsid w:val="00E46F97"/>
    <w:rsid w:val="00E51A52"/>
    <w:rsid w:val="00E52109"/>
    <w:rsid w:val="00E52E66"/>
    <w:rsid w:val="00E71F37"/>
    <w:rsid w:val="00E7217B"/>
    <w:rsid w:val="00E75395"/>
    <w:rsid w:val="00E77D0C"/>
    <w:rsid w:val="00E77D93"/>
    <w:rsid w:val="00E85DC3"/>
    <w:rsid w:val="00E91057"/>
    <w:rsid w:val="00E95F4B"/>
    <w:rsid w:val="00EA5929"/>
    <w:rsid w:val="00ED0373"/>
    <w:rsid w:val="00ED1A9C"/>
    <w:rsid w:val="00ED5334"/>
    <w:rsid w:val="00EE217F"/>
    <w:rsid w:val="00EF1F80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2616"/>
    <w:rsid w:val="00F9527F"/>
    <w:rsid w:val="00FB04CD"/>
    <w:rsid w:val="00FC1A0A"/>
    <w:rsid w:val="00FC5DEE"/>
    <w:rsid w:val="00FD085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82CA-8CD5-44AF-AE51-CBA654E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2965</Words>
  <Characters>21064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11</cp:revision>
  <cp:lastPrinted>2009-12-18T11:07:00Z</cp:lastPrinted>
  <dcterms:created xsi:type="dcterms:W3CDTF">2019-03-12T09:06:00Z</dcterms:created>
  <dcterms:modified xsi:type="dcterms:W3CDTF">2019-06-14T11:56:00Z</dcterms:modified>
</cp:coreProperties>
</file>